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48" w:rsidRDefault="004E4848" w:rsidP="004E4848">
      <w:pPr>
        <w:shd w:val="clear" w:color="auto" w:fill="99CCFF"/>
        <w:jc w:val="center"/>
        <w:rPr>
          <w:rFonts w:ascii="Arial" w:hAnsi="Arial" w:cs="Arial"/>
          <w:b/>
        </w:rPr>
      </w:pPr>
    </w:p>
    <w:p w:rsidR="004E4848" w:rsidRDefault="004E4848" w:rsidP="004E4848">
      <w:pPr>
        <w:shd w:val="clear" w:color="auto" w:fill="99CCFF"/>
        <w:jc w:val="center"/>
        <w:rPr>
          <w:rFonts w:ascii="Arial" w:hAnsi="Arial" w:cs="Arial"/>
          <w:b/>
        </w:rPr>
      </w:pPr>
      <w:r>
        <w:object w:dxaOrig="7546"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74.25pt" o:ole="">
            <v:imagedata r:id="rId7" o:title=""/>
          </v:shape>
          <o:OLEObject Type="Embed" ProgID="MSPhotoEd.3" ShapeID="_x0000_i1025" DrawAspect="Content" ObjectID="_1454486300" r:id="rId8"/>
        </w:object>
      </w:r>
    </w:p>
    <w:p w:rsidR="004E4848" w:rsidRDefault="004E4848" w:rsidP="004E4848">
      <w:pPr>
        <w:shd w:val="clear" w:color="auto" w:fill="99CCFF"/>
        <w:jc w:val="center"/>
        <w:rPr>
          <w:b/>
          <w:sz w:val="48"/>
          <w:szCs w:val="48"/>
        </w:rPr>
      </w:pPr>
      <w:r>
        <w:rPr>
          <w:b/>
          <w:sz w:val="48"/>
          <w:szCs w:val="48"/>
        </w:rPr>
        <w:t>BIT MİLANO</w:t>
      </w:r>
    </w:p>
    <w:p w:rsidR="004E4848" w:rsidRDefault="004E4848" w:rsidP="004E4848">
      <w:pPr>
        <w:shd w:val="clear" w:color="auto" w:fill="99CCFF"/>
        <w:jc w:val="center"/>
        <w:rPr>
          <w:b/>
          <w:sz w:val="48"/>
          <w:szCs w:val="48"/>
        </w:rPr>
      </w:pPr>
      <w:r>
        <w:rPr>
          <w:b/>
          <w:sz w:val="48"/>
          <w:szCs w:val="48"/>
        </w:rPr>
        <w:t>2014</w:t>
      </w:r>
    </w:p>
    <w:p w:rsidR="004E4848" w:rsidRDefault="004E4848" w:rsidP="004E4848">
      <w:pPr>
        <w:shd w:val="clear" w:color="auto" w:fill="99CCFF"/>
        <w:jc w:val="center"/>
        <w:rPr>
          <w:b/>
          <w:sz w:val="48"/>
          <w:szCs w:val="48"/>
        </w:rPr>
      </w:pPr>
      <w:r w:rsidRPr="000D3060">
        <w:rPr>
          <w:b/>
          <w:sz w:val="48"/>
          <w:szCs w:val="48"/>
        </w:rPr>
        <w:t xml:space="preserve">TURİZM </w:t>
      </w:r>
      <w:r>
        <w:rPr>
          <w:b/>
          <w:sz w:val="48"/>
          <w:szCs w:val="48"/>
        </w:rPr>
        <w:t>FUARI</w:t>
      </w:r>
    </w:p>
    <w:p w:rsidR="004E4848" w:rsidRDefault="004E4848" w:rsidP="004E4848">
      <w:pPr>
        <w:shd w:val="clear" w:color="auto" w:fill="99CCFF"/>
        <w:jc w:val="center"/>
        <w:rPr>
          <w:b/>
          <w:sz w:val="48"/>
          <w:szCs w:val="48"/>
        </w:rPr>
      </w:pPr>
      <w:r>
        <w:rPr>
          <w:b/>
          <w:sz w:val="48"/>
          <w:szCs w:val="48"/>
        </w:rPr>
        <w:t xml:space="preserve">SONUÇ </w:t>
      </w:r>
      <w:r w:rsidRPr="000D3060">
        <w:rPr>
          <w:b/>
          <w:sz w:val="48"/>
          <w:szCs w:val="48"/>
        </w:rPr>
        <w:t>RAPORU</w:t>
      </w:r>
    </w:p>
    <w:p w:rsidR="004E4848" w:rsidRDefault="004E4848" w:rsidP="004E4848">
      <w:pPr>
        <w:shd w:val="clear" w:color="auto" w:fill="99CCFF"/>
        <w:jc w:val="center"/>
        <w:rPr>
          <w:rFonts w:ascii="Arial" w:hAnsi="Arial" w:cs="Arial"/>
          <w:b/>
        </w:rPr>
      </w:pPr>
      <w:r>
        <w:rPr>
          <w:rFonts w:ascii="Arial" w:hAnsi="Arial" w:cs="Arial"/>
          <w:b/>
          <w:noProof/>
          <w:lang w:eastAsia="tr-TR"/>
        </w:rPr>
        <w:drawing>
          <wp:inline distT="0" distB="0" distL="0" distR="0" wp14:anchorId="0908FC17" wp14:editId="38BBB38E">
            <wp:extent cx="4235501" cy="233209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005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8165" cy="2333561"/>
                    </a:xfrm>
                    <a:prstGeom prst="rect">
                      <a:avLst/>
                    </a:prstGeom>
                  </pic:spPr>
                </pic:pic>
              </a:graphicData>
            </a:graphic>
          </wp:inline>
        </w:drawing>
      </w:r>
    </w:p>
    <w:p w:rsidR="004E4848" w:rsidRDefault="004E4848" w:rsidP="004E4848">
      <w:pPr>
        <w:shd w:val="clear" w:color="auto" w:fill="99CCFF"/>
        <w:jc w:val="center"/>
        <w:rPr>
          <w:rFonts w:ascii="Arial" w:hAnsi="Arial" w:cs="Arial"/>
          <w:b/>
          <w:noProof/>
          <w:lang w:eastAsia="tr-TR"/>
        </w:rPr>
      </w:pPr>
    </w:p>
    <w:p w:rsidR="004E4848" w:rsidRDefault="004E4848" w:rsidP="004E4848">
      <w:pPr>
        <w:shd w:val="clear" w:color="auto" w:fill="99CCFF"/>
        <w:jc w:val="center"/>
        <w:rPr>
          <w:rFonts w:ascii="Arial" w:hAnsi="Arial" w:cs="Arial"/>
          <w:b/>
          <w:noProof/>
          <w:lang w:eastAsia="tr-TR"/>
        </w:rPr>
      </w:pPr>
    </w:p>
    <w:p w:rsidR="004E4848" w:rsidRDefault="004E4848" w:rsidP="004E4848">
      <w:pPr>
        <w:shd w:val="clear" w:color="auto" w:fill="99CCFF"/>
        <w:jc w:val="center"/>
        <w:rPr>
          <w:rFonts w:ascii="Arial" w:hAnsi="Arial" w:cs="Arial"/>
          <w:b/>
          <w:noProof/>
          <w:lang w:eastAsia="tr-TR"/>
        </w:rPr>
      </w:pPr>
    </w:p>
    <w:p w:rsidR="004E4848" w:rsidRDefault="004E4848" w:rsidP="004E4848">
      <w:pPr>
        <w:shd w:val="clear" w:color="auto" w:fill="99CCFF"/>
        <w:jc w:val="center"/>
        <w:rPr>
          <w:rFonts w:ascii="Arial" w:hAnsi="Arial" w:cs="Arial"/>
          <w:b/>
        </w:rPr>
      </w:pPr>
      <w:r w:rsidRPr="0007350A">
        <w:rPr>
          <w:rFonts w:ascii="Arial" w:hAnsi="Arial" w:cs="Arial"/>
          <w:b/>
        </w:rPr>
        <w:object w:dxaOrig="7546" w:dyaOrig="3495">
          <v:shape id="_x0000_i1026" type="#_x0000_t75" style="width:161.25pt;height:74.25pt" o:ole="">
            <v:imagedata r:id="rId7" o:title=""/>
          </v:shape>
          <o:OLEObject Type="Embed" ProgID="MSPhotoEd.3" ShapeID="_x0000_i1026" DrawAspect="Content" ObjectID="_1454486301" r:id="rId10"/>
        </w:object>
      </w:r>
    </w:p>
    <w:p w:rsidR="004E4848" w:rsidRDefault="004E4848" w:rsidP="004E4848">
      <w:pPr>
        <w:shd w:val="clear" w:color="auto" w:fill="99CCFF"/>
        <w:jc w:val="center"/>
        <w:rPr>
          <w:b/>
          <w:sz w:val="40"/>
          <w:szCs w:val="40"/>
        </w:rPr>
      </w:pPr>
      <w:r w:rsidRPr="0007350A">
        <w:rPr>
          <w:b/>
          <w:sz w:val="40"/>
          <w:szCs w:val="40"/>
        </w:rPr>
        <w:t>AR-GE BİRİMİ</w:t>
      </w:r>
    </w:p>
    <w:p w:rsidR="004E4848" w:rsidRDefault="004E4848" w:rsidP="004E4848">
      <w:pPr>
        <w:shd w:val="clear" w:color="auto" w:fill="99CCFF"/>
        <w:jc w:val="center"/>
        <w:rPr>
          <w:b/>
          <w:sz w:val="40"/>
          <w:szCs w:val="40"/>
        </w:rPr>
      </w:pPr>
    </w:p>
    <w:p w:rsidR="00513237" w:rsidRDefault="00513237" w:rsidP="004E4848">
      <w:pPr>
        <w:shd w:val="clear" w:color="auto" w:fill="99CCFF"/>
        <w:jc w:val="center"/>
        <w:rPr>
          <w:b/>
          <w:sz w:val="40"/>
          <w:szCs w:val="40"/>
        </w:rPr>
      </w:pPr>
    </w:p>
    <w:p w:rsidR="00A53E02" w:rsidRDefault="00A53E02" w:rsidP="004E4848">
      <w:pPr>
        <w:jc w:val="both"/>
      </w:pPr>
    </w:p>
    <w:p w:rsidR="00513237" w:rsidRDefault="00513237" w:rsidP="004E4848">
      <w:pPr>
        <w:jc w:val="both"/>
      </w:pPr>
    </w:p>
    <w:p w:rsidR="00A53E02" w:rsidRPr="005C5FC9" w:rsidRDefault="00A53E02" w:rsidP="00A53E02">
      <w:pPr>
        <w:shd w:val="clear" w:color="auto" w:fill="8DB3E2" w:themeFill="text2" w:themeFillTint="66"/>
        <w:jc w:val="both"/>
        <w:rPr>
          <w:b/>
          <w:sz w:val="32"/>
          <w:szCs w:val="32"/>
        </w:rPr>
      </w:pPr>
      <w:r w:rsidRPr="005C5FC9">
        <w:rPr>
          <w:b/>
          <w:sz w:val="32"/>
          <w:szCs w:val="32"/>
        </w:rPr>
        <w:t>TÜRSAB BIT MİLANO 2014 TURİZM FUAR RAPORU</w:t>
      </w:r>
    </w:p>
    <w:p w:rsidR="004E4848" w:rsidRPr="005C5FC9" w:rsidRDefault="004E4848" w:rsidP="004E4848">
      <w:pPr>
        <w:jc w:val="both"/>
        <w:rPr>
          <w:sz w:val="24"/>
          <w:szCs w:val="24"/>
        </w:rPr>
      </w:pPr>
      <w:r w:rsidRPr="005C5FC9">
        <w:rPr>
          <w:sz w:val="24"/>
          <w:szCs w:val="24"/>
        </w:rPr>
        <w:t xml:space="preserve">Türkiye Seyahat </w:t>
      </w:r>
      <w:proofErr w:type="spellStart"/>
      <w:r w:rsidRPr="005C5FC9">
        <w:rPr>
          <w:sz w:val="24"/>
          <w:szCs w:val="24"/>
        </w:rPr>
        <w:t>Acentaları</w:t>
      </w:r>
      <w:proofErr w:type="spellEnd"/>
      <w:r w:rsidRPr="005C5FC9">
        <w:rPr>
          <w:sz w:val="24"/>
          <w:szCs w:val="24"/>
        </w:rPr>
        <w:t xml:space="preserve"> Birliği (TÜRSAB) bu yıl 13-15 Şubat tarihleri arasında İtalya’nın Milano kentinde 34’üncü kez düzenlenen BIT Milano Uluslararası Turizm Fuarı’na ilişkin fuar sonuç raporunu açıkladı. Türkiye’ye en çok turist gönderen ülkeler arasında 11’inci sırada yer alan İtalya pazarına ilişkin gelişmelerin değerlendirildiği fuarda turizmcilerin 2014 yılına ilişkin temkinli iyi</w:t>
      </w:r>
      <w:r w:rsidR="001346CF">
        <w:rPr>
          <w:sz w:val="24"/>
          <w:szCs w:val="24"/>
        </w:rPr>
        <w:t>mserlik beklentileri öne çıktı.</w:t>
      </w:r>
    </w:p>
    <w:p w:rsidR="004E4848" w:rsidRPr="005C5FC9" w:rsidRDefault="004E4848" w:rsidP="004E4848">
      <w:pPr>
        <w:jc w:val="both"/>
        <w:rPr>
          <w:b/>
          <w:sz w:val="24"/>
          <w:szCs w:val="24"/>
        </w:rPr>
      </w:pPr>
      <w:r w:rsidRPr="005C5FC9">
        <w:rPr>
          <w:b/>
          <w:sz w:val="24"/>
          <w:szCs w:val="24"/>
        </w:rPr>
        <w:t>İTALYA EKONOMİSİ</w:t>
      </w:r>
    </w:p>
    <w:p w:rsidR="00A53E02" w:rsidRPr="005C5FC9" w:rsidRDefault="004E4848" w:rsidP="004E4848">
      <w:pPr>
        <w:jc w:val="both"/>
        <w:rPr>
          <w:sz w:val="24"/>
          <w:szCs w:val="24"/>
        </w:rPr>
      </w:pPr>
      <w:r w:rsidRPr="005C5FC9">
        <w:rPr>
          <w:sz w:val="24"/>
          <w:szCs w:val="24"/>
        </w:rPr>
        <w:t xml:space="preserve">İtalya 2 trilyon doları aşan gayrisafi yurtiçi hasılası ile dünyanın dokuzuncu, Euro Bölgesi’nin ise Almanya ve Fransa’nın ardından üçüncü en büyük ekonomisi durumunda bulunuyor. Uluslararası Para Fonu (IMF) verilerine göre İtalya ekonomisi, 2012 yılında 2 trilyon 14 milyar dolarlık bir büyüklük oluşturdu. Yine IMF verilerine göre İtalya’da kişi başına düşen milli gelir ise 33 bin 115 dolar düzeyinde gerçekleşti. İtalya Ulusal İstatistik Enstitüsü (ISTAT) tarafından açıklanan verilere göre </w:t>
      </w:r>
      <w:r w:rsidR="00A53E02" w:rsidRPr="005C5FC9">
        <w:rPr>
          <w:sz w:val="24"/>
          <w:szCs w:val="24"/>
        </w:rPr>
        <w:t xml:space="preserve">ise </w:t>
      </w:r>
      <w:r w:rsidRPr="005C5FC9">
        <w:rPr>
          <w:sz w:val="24"/>
          <w:szCs w:val="24"/>
        </w:rPr>
        <w:t>2013 yılı sonunda ülkedeki işsizlik oranı yüzde 12,8 oldu. Gen</w:t>
      </w:r>
      <w:r w:rsidR="00A53E02" w:rsidRPr="005C5FC9">
        <w:rPr>
          <w:sz w:val="24"/>
          <w:szCs w:val="24"/>
        </w:rPr>
        <w:t>ç nüfus içindeki işsizlik oranıysa</w:t>
      </w:r>
      <w:r w:rsidRPr="005C5FC9">
        <w:rPr>
          <w:sz w:val="24"/>
          <w:szCs w:val="24"/>
        </w:rPr>
        <w:t xml:space="preserve"> yüzde </w:t>
      </w:r>
      <w:proofErr w:type="gramStart"/>
      <w:r w:rsidRPr="005C5FC9">
        <w:rPr>
          <w:sz w:val="24"/>
          <w:szCs w:val="24"/>
        </w:rPr>
        <w:t>40.4’e</w:t>
      </w:r>
      <w:proofErr w:type="gramEnd"/>
      <w:r w:rsidRPr="005C5FC9">
        <w:rPr>
          <w:sz w:val="24"/>
          <w:szCs w:val="24"/>
        </w:rPr>
        <w:t xml:space="preserve"> ulaştı.</w:t>
      </w:r>
    </w:p>
    <w:tbl>
      <w:tblPr>
        <w:tblStyle w:val="TabloKlavuzu"/>
        <w:tblW w:w="0" w:type="auto"/>
        <w:tblLook w:val="04A0" w:firstRow="1" w:lastRow="0" w:firstColumn="1" w:lastColumn="0" w:noHBand="0" w:noVBand="1"/>
      </w:tblPr>
      <w:tblGrid>
        <w:gridCol w:w="2802"/>
        <w:gridCol w:w="3543"/>
        <w:gridCol w:w="2918"/>
      </w:tblGrid>
      <w:tr w:rsidR="004E4848" w:rsidTr="001346CF">
        <w:trPr>
          <w:trHeight w:val="379"/>
        </w:trPr>
        <w:tc>
          <w:tcPr>
            <w:tcW w:w="9263" w:type="dxa"/>
            <w:gridSpan w:val="3"/>
            <w:shd w:val="clear" w:color="auto" w:fill="D9D9D9" w:themeFill="background1" w:themeFillShade="D9"/>
          </w:tcPr>
          <w:p w:rsidR="004E4848" w:rsidRPr="005C5FC9" w:rsidRDefault="004E4848" w:rsidP="0007777E">
            <w:pPr>
              <w:jc w:val="center"/>
              <w:rPr>
                <w:b/>
                <w:sz w:val="24"/>
                <w:szCs w:val="24"/>
              </w:rPr>
            </w:pPr>
            <w:r w:rsidRPr="005C5FC9">
              <w:rPr>
                <w:b/>
                <w:sz w:val="24"/>
                <w:szCs w:val="24"/>
              </w:rPr>
              <w:t>İTALYA EKONOMİK VERİLER</w:t>
            </w:r>
          </w:p>
        </w:tc>
      </w:tr>
      <w:tr w:rsidR="004E4848" w:rsidTr="001346CF">
        <w:trPr>
          <w:trHeight w:val="405"/>
        </w:trPr>
        <w:tc>
          <w:tcPr>
            <w:tcW w:w="2802" w:type="dxa"/>
            <w:shd w:val="clear" w:color="auto" w:fill="C2D69B" w:themeFill="accent3" w:themeFillTint="99"/>
          </w:tcPr>
          <w:p w:rsidR="004E4848" w:rsidRPr="001346CF" w:rsidRDefault="004E4848" w:rsidP="0007777E">
            <w:pPr>
              <w:jc w:val="center"/>
              <w:rPr>
                <w:b/>
                <w:sz w:val="24"/>
                <w:szCs w:val="24"/>
              </w:rPr>
            </w:pPr>
            <w:r w:rsidRPr="001346CF">
              <w:rPr>
                <w:b/>
                <w:sz w:val="24"/>
                <w:szCs w:val="24"/>
              </w:rPr>
              <w:t>GSMH (2012)</w:t>
            </w:r>
          </w:p>
        </w:tc>
        <w:tc>
          <w:tcPr>
            <w:tcW w:w="3543" w:type="dxa"/>
            <w:shd w:val="clear" w:color="auto" w:fill="C2D69B" w:themeFill="accent3" w:themeFillTint="99"/>
          </w:tcPr>
          <w:p w:rsidR="004E4848" w:rsidRPr="001346CF" w:rsidRDefault="004E4848" w:rsidP="0007777E">
            <w:pPr>
              <w:jc w:val="center"/>
              <w:rPr>
                <w:b/>
                <w:sz w:val="24"/>
                <w:szCs w:val="24"/>
              </w:rPr>
            </w:pPr>
            <w:r w:rsidRPr="001346CF">
              <w:rPr>
                <w:b/>
                <w:sz w:val="24"/>
                <w:szCs w:val="24"/>
              </w:rPr>
              <w:t>KİŞİBAŞINA DÜŞEN GELİR (2012)</w:t>
            </w:r>
          </w:p>
        </w:tc>
        <w:tc>
          <w:tcPr>
            <w:tcW w:w="2918" w:type="dxa"/>
            <w:shd w:val="clear" w:color="auto" w:fill="C2D69B" w:themeFill="accent3" w:themeFillTint="99"/>
          </w:tcPr>
          <w:p w:rsidR="004E4848" w:rsidRPr="001346CF" w:rsidRDefault="004E4848" w:rsidP="0007777E">
            <w:pPr>
              <w:jc w:val="center"/>
              <w:rPr>
                <w:b/>
                <w:sz w:val="24"/>
                <w:szCs w:val="24"/>
              </w:rPr>
            </w:pPr>
            <w:r w:rsidRPr="001346CF">
              <w:rPr>
                <w:b/>
                <w:sz w:val="24"/>
                <w:szCs w:val="24"/>
              </w:rPr>
              <w:t>İŞSİZLİK ORANI (2013)</w:t>
            </w:r>
          </w:p>
        </w:tc>
      </w:tr>
      <w:tr w:rsidR="004E4848" w:rsidTr="001346CF">
        <w:trPr>
          <w:trHeight w:val="405"/>
        </w:trPr>
        <w:tc>
          <w:tcPr>
            <w:tcW w:w="2802" w:type="dxa"/>
            <w:shd w:val="clear" w:color="auto" w:fill="95B3D7" w:themeFill="accent1" w:themeFillTint="99"/>
          </w:tcPr>
          <w:p w:rsidR="004E4848" w:rsidRPr="001346CF" w:rsidRDefault="004E4848" w:rsidP="0007777E">
            <w:pPr>
              <w:jc w:val="center"/>
              <w:rPr>
                <w:sz w:val="24"/>
                <w:szCs w:val="24"/>
              </w:rPr>
            </w:pPr>
            <w:r w:rsidRPr="001346CF">
              <w:rPr>
                <w:sz w:val="24"/>
                <w:szCs w:val="24"/>
              </w:rPr>
              <w:t xml:space="preserve">2 014 078 000 000 </w:t>
            </w:r>
          </w:p>
        </w:tc>
        <w:tc>
          <w:tcPr>
            <w:tcW w:w="3543" w:type="dxa"/>
            <w:shd w:val="clear" w:color="auto" w:fill="95B3D7" w:themeFill="accent1" w:themeFillTint="99"/>
          </w:tcPr>
          <w:p w:rsidR="004E4848" w:rsidRPr="001346CF" w:rsidRDefault="004E4848" w:rsidP="0007777E">
            <w:pPr>
              <w:jc w:val="center"/>
              <w:rPr>
                <w:sz w:val="24"/>
                <w:szCs w:val="24"/>
              </w:rPr>
            </w:pPr>
            <w:r w:rsidRPr="001346CF">
              <w:rPr>
                <w:sz w:val="24"/>
                <w:szCs w:val="24"/>
              </w:rPr>
              <w:t>33 115</w:t>
            </w:r>
            <w:r w:rsidR="001346CF">
              <w:rPr>
                <w:sz w:val="24"/>
                <w:szCs w:val="24"/>
              </w:rPr>
              <w:t xml:space="preserve"> $</w:t>
            </w:r>
          </w:p>
        </w:tc>
        <w:tc>
          <w:tcPr>
            <w:tcW w:w="2918" w:type="dxa"/>
            <w:shd w:val="clear" w:color="auto" w:fill="95B3D7" w:themeFill="accent1" w:themeFillTint="99"/>
          </w:tcPr>
          <w:p w:rsidR="004E4848" w:rsidRPr="001346CF" w:rsidRDefault="004E4848" w:rsidP="0007777E">
            <w:pPr>
              <w:jc w:val="center"/>
              <w:rPr>
                <w:sz w:val="24"/>
                <w:szCs w:val="24"/>
              </w:rPr>
            </w:pPr>
            <w:r w:rsidRPr="001346CF">
              <w:rPr>
                <w:sz w:val="24"/>
                <w:szCs w:val="24"/>
              </w:rPr>
              <w:t>%12,8</w:t>
            </w:r>
          </w:p>
        </w:tc>
      </w:tr>
    </w:tbl>
    <w:p w:rsidR="00A53E02" w:rsidRPr="005C5FC9" w:rsidRDefault="004E4848" w:rsidP="004E4848">
      <w:pPr>
        <w:jc w:val="both"/>
        <w:rPr>
          <w:b/>
          <w:sz w:val="20"/>
          <w:szCs w:val="20"/>
        </w:rPr>
      </w:pPr>
      <w:r w:rsidRPr="005C5FC9">
        <w:rPr>
          <w:sz w:val="20"/>
          <w:szCs w:val="20"/>
        </w:rPr>
        <w:t>Kaynak: IMF ve ISTAT</w:t>
      </w:r>
    </w:p>
    <w:p w:rsidR="004E4848" w:rsidRPr="005C5FC9" w:rsidRDefault="004E4848" w:rsidP="004E4848">
      <w:pPr>
        <w:jc w:val="both"/>
        <w:rPr>
          <w:b/>
          <w:sz w:val="24"/>
          <w:szCs w:val="24"/>
        </w:rPr>
      </w:pPr>
      <w:r w:rsidRPr="005C5FC9">
        <w:rPr>
          <w:b/>
          <w:sz w:val="24"/>
          <w:szCs w:val="24"/>
        </w:rPr>
        <w:t>2014’TE EKONOMİDE BÜYÜME BEKLENİYOR</w:t>
      </w:r>
    </w:p>
    <w:p w:rsidR="004E4848" w:rsidRPr="005C5FC9" w:rsidRDefault="004E4848" w:rsidP="004E4848">
      <w:pPr>
        <w:jc w:val="both"/>
        <w:rPr>
          <w:sz w:val="24"/>
          <w:szCs w:val="24"/>
        </w:rPr>
      </w:pPr>
      <w:r w:rsidRPr="005C5FC9">
        <w:rPr>
          <w:sz w:val="24"/>
          <w:szCs w:val="24"/>
        </w:rPr>
        <w:t xml:space="preserve">Küresel </w:t>
      </w:r>
      <w:r w:rsidR="001346CF">
        <w:rPr>
          <w:sz w:val="24"/>
          <w:szCs w:val="24"/>
        </w:rPr>
        <w:t xml:space="preserve">krizden en çok etkilenen AB </w:t>
      </w:r>
      <w:r w:rsidRPr="005C5FC9">
        <w:rPr>
          <w:sz w:val="24"/>
          <w:szCs w:val="24"/>
        </w:rPr>
        <w:t>ülkeleri arasında</w:t>
      </w:r>
      <w:r w:rsidR="001346CF">
        <w:rPr>
          <w:sz w:val="24"/>
          <w:szCs w:val="24"/>
        </w:rPr>
        <w:t>ki</w:t>
      </w:r>
      <w:r w:rsidRPr="005C5FC9">
        <w:rPr>
          <w:sz w:val="24"/>
          <w:szCs w:val="24"/>
        </w:rPr>
        <w:t xml:space="preserve"> İtalya’da</w:t>
      </w:r>
      <w:r w:rsidR="001346CF">
        <w:rPr>
          <w:sz w:val="24"/>
          <w:szCs w:val="24"/>
        </w:rPr>
        <w:t>,</w:t>
      </w:r>
      <w:r w:rsidRPr="005C5FC9">
        <w:rPr>
          <w:sz w:val="24"/>
          <w:szCs w:val="24"/>
        </w:rPr>
        <w:t xml:space="preserve"> son yıllarda yaşanan ekonomideki küçülmenin 2014’ten itibaren yerini büyümeye bırakması bekleniyor. IMF tarafından açıklanan veri ve beklent</w:t>
      </w:r>
      <w:r w:rsidR="00954E57">
        <w:rPr>
          <w:sz w:val="24"/>
          <w:szCs w:val="24"/>
        </w:rPr>
        <w:t>ilere göre 2012 yılında yüzde 2,</w:t>
      </w:r>
      <w:r w:rsidRPr="005C5FC9">
        <w:rPr>
          <w:sz w:val="24"/>
          <w:szCs w:val="24"/>
        </w:rPr>
        <w:t>5, 2013 yılında ise yüzde 1,8 oranında küçülen İtalya ekonomisi, 2014 ve 2015 yılında yeniden büyümeye başlayacak.</w:t>
      </w:r>
    </w:p>
    <w:tbl>
      <w:tblPr>
        <w:tblStyle w:val="TabloKlavuzu"/>
        <w:tblW w:w="9294" w:type="dxa"/>
        <w:tblLook w:val="04A0" w:firstRow="1" w:lastRow="0" w:firstColumn="1" w:lastColumn="0" w:noHBand="0" w:noVBand="1"/>
      </w:tblPr>
      <w:tblGrid>
        <w:gridCol w:w="2323"/>
        <w:gridCol w:w="2323"/>
        <w:gridCol w:w="2324"/>
        <w:gridCol w:w="2324"/>
      </w:tblGrid>
      <w:tr w:rsidR="004E4848" w:rsidTr="00A53E02">
        <w:trPr>
          <w:trHeight w:val="375"/>
        </w:trPr>
        <w:tc>
          <w:tcPr>
            <w:tcW w:w="9293" w:type="dxa"/>
            <w:gridSpan w:val="4"/>
            <w:shd w:val="clear" w:color="auto" w:fill="D9D9D9" w:themeFill="background1" w:themeFillShade="D9"/>
          </w:tcPr>
          <w:p w:rsidR="004E4848" w:rsidRPr="005C5FC9" w:rsidRDefault="004E4848" w:rsidP="0007777E">
            <w:pPr>
              <w:jc w:val="center"/>
              <w:rPr>
                <w:b/>
                <w:sz w:val="24"/>
                <w:szCs w:val="24"/>
              </w:rPr>
            </w:pPr>
            <w:r w:rsidRPr="005C5FC9">
              <w:rPr>
                <w:b/>
                <w:sz w:val="24"/>
                <w:szCs w:val="24"/>
              </w:rPr>
              <w:t>İTALYA BÜYÜME RAKAMLARI</w:t>
            </w:r>
          </w:p>
        </w:tc>
      </w:tr>
      <w:tr w:rsidR="004E4848" w:rsidRPr="004938EF" w:rsidTr="00A53E02">
        <w:trPr>
          <w:trHeight w:val="351"/>
        </w:trPr>
        <w:tc>
          <w:tcPr>
            <w:tcW w:w="2323" w:type="dxa"/>
            <w:shd w:val="clear" w:color="auto" w:fill="C2D69B" w:themeFill="accent3" w:themeFillTint="99"/>
          </w:tcPr>
          <w:p w:rsidR="004E4848" w:rsidRPr="004938EF" w:rsidRDefault="004E4848" w:rsidP="0007777E">
            <w:pPr>
              <w:jc w:val="center"/>
              <w:rPr>
                <w:b/>
              </w:rPr>
            </w:pPr>
            <w:r w:rsidRPr="004938EF">
              <w:rPr>
                <w:b/>
              </w:rPr>
              <w:t>2012</w:t>
            </w:r>
          </w:p>
        </w:tc>
        <w:tc>
          <w:tcPr>
            <w:tcW w:w="2323" w:type="dxa"/>
            <w:shd w:val="clear" w:color="auto" w:fill="C2D69B" w:themeFill="accent3" w:themeFillTint="99"/>
          </w:tcPr>
          <w:p w:rsidR="004E4848" w:rsidRPr="004938EF" w:rsidRDefault="004E4848" w:rsidP="0007777E">
            <w:pPr>
              <w:jc w:val="center"/>
              <w:rPr>
                <w:b/>
              </w:rPr>
            </w:pPr>
            <w:r w:rsidRPr="004938EF">
              <w:rPr>
                <w:b/>
              </w:rPr>
              <w:t>2013</w:t>
            </w:r>
          </w:p>
        </w:tc>
        <w:tc>
          <w:tcPr>
            <w:tcW w:w="2324" w:type="dxa"/>
            <w:shd w:val="clear" w:color="auto" w:fill="C2D69B" w:themeFill="accent3" w:themeFillTint="99"/>
          </w:tcPr>
          <w:p w:rsidR="004E4848" w:rsidRPr="004938EF" w:rsidRDefault="004E4848" w:rsidP="0007777E">
            <w:pPr>
              <w:jc w:val="center"/>
              <w:rPr>
                <w:b/>
              </w:rPr>
            </w:pPr>
            <w:r w:rsidRPr="004938EF">
              <w:rPr>
                <w:b/>
              </w:rPr>
              <w:t>2014 (Beklenti)</w:t>
            </w:r>
          </w:p>
        </w:tc>
        <w:tc>
          <w:tcPr>
            <w:tcW w:w="2324" w:type="dxa"/>
            <w:shd w:val="clear" w:color="auto" w:fill="C2D69B" w:themeFill="accent3" w:themeFillTint="99"/>
          </w:tcPr>
          <w:p w:rsidR="004E4848" w:rsidRPr="004938EF" w:rsidRDefault="004E4848" w:rsidP="0007777E">
            <w:pPr>
              <w:jc w:val="center"/>
              <w:rPr>
                <w:b/>
              </w:rPr>
            </w:pPr>
            <w:r w:rsidRPr="004938EF">
              <w:rPr>
                <w:b/>
              </w:rPr>
              <w:t>2015 (Beklenti)</w:t>
            </w:r>
          </w:p>
        </w:tc>
      </w:tr>
      <w:tr w:rsidR="004E4848" w:rsidTr="00A53E02">
        <w:trPr>
          <w:trHeight w:val="399"/>
        </w:trPr>
        <w:tc>
          <w:tcPr>
            <w:tcW w:w="2323" w:type="dxa"/>
            <w:shd w:val="clear" w:color="auto" w:fill="8DB3E2" w:themeFill="text2" w:themeFillTint="66"/>
          </w:tcPr>
          <w:p w:rsidR="004E4848" w:rsidRDefault="004E4848" w:rsidP="0007777E">
            <w:pPr>
              <w:jc w:val="center"/>
            </w:pPr>
            <w:r>
              <w:t>% - 2,5</w:t>
            </w:r>
          </w:p>
        </w:tc>
        <w:tc>
          <w:tcPr>
            <w:tcW w:w="2323" w:type="dxa"/>
            <w:shd w:val="clear" w:color="auto" w:fill="8DB3E2" w:themeFill="text2" w:themeFillTint="66"/>
          </w:tcPr>
          <w:p w:rsidR="004E4848" w:rsidRDefault="004E4848" w:rsidP="0007777E">
            <w:pPr>
              <w:jc w:val="center"/>
            </w:pPr>
            <w:r>
              <w:t>% - 1,8</w:t>
            </w:r>
          </w:p>
        </w:tc>
        <w:tc>
          <w:tcPr>
            <w:tcW w:w="2324" w:type="dxa"/>
            <w:shd w:val="clear" w:color="auto" w:fill="8DB3E2" w:themeFill="text2" w:themeFillTint="66"/>
          </w:tcPr>
          <w:p w:rsidR="004E4848" w:rsidRDefault="004E4848" w:rsidP="0007777E">
            <w:pPr>
              <w:jc w:val="center"/>
            </w:pPr>
            <w:r>
              <w:t>% 0,6</w:t>
            </w:r>
          </w:p>
        </w:tc>
        <w:tc>
          <w:tcPr>
            <w:tcW w:w="2324" w:type="dxa"/>
            <w:shd w:val="clear" w:color="auto" w:fill="8DB3E2" w:themeFill="text2" w:themeFillTint="66"/>
          </w:tcPr>
          <w:p w:rsidR="004E4848" w:rsidRDefault="004E4848" w:rsidP="0007777E">
            <w:pPr>
              <w:jc w:val="center"/>
            </w:pPr>
            <w:r>
              <w:t>% 1,1</w:t>
            </w:r>
          </w:p>
        </w:tc>
      </w:tr>
    </w:tbl>
    <w:p w:rsidR="004E4848" w:rsidRPr="005C5FC9" w:rsidRDefault="004E4848" w:rsidP="004E4848">
      <w:pPr>
        <w:jc w:val="both"/>
        <w:rPr>
          <w:sz w:val="20"/>
          <w:szCs w:val="20"/>
        </w:rPr>
      </w:pPr>
      <w:r w:rsidRPr="005C5FC9">
        <w:rPr>
          <w:sz w:val="20"/>
          <w:szCs w:val="20"/>
        </w:rPr>
        <w:t>Kaynak: IMF</w:t>
      </w:r>
    </w:p>
    <w:p w:rsidR="004E4848" w:rsidRPr="005C5FC9" w:rsidRDefault="004E4848" w:rsidP="004E4848">
      <w:pPr>
        <w:jc w:val="both"/>
        <w:rPr>
          <w:sz w:val="24"/>
          <w:szCs w:val="24"/>
        </w:rPr>
      </w:pPr>
      <w:r w:rsidRPr="005C5FC9">
        <w:rPr>
          <w:sz w:val="24"/>
          <w:szCs w:val="24"/>
        </w:rPr>
        <w:t>Dünya Seyahat ve Turizm Konseyi (WTTC) verilerine göre, 2012 yılında İtalya’da turizm sektörünün</w:t>
      </w:r>
      <w:r w:rsidR="0054647B">
        <w:rPr>
          <w:sz w:val="24"/>
          <w:szCs w:val="24"/>
        </w:rPr>
        <w:t xml:space="preserve"> ülkenin Gayri Safi Yurtiçi Hasılası’na sağladığı direkt katkı yüzde 4,1 düzeyinde bulunurken </w:t>
      </w:r>
      <w:r w:rsidR="007B5A01">
        <w:rPr>
          <w:sz w:val="24"/>
          <w:szCs w:val="24"/>
        </w:rPr>
        <w:t xml:space="preserve">destek olduğu diğer sektörlerle birlikte turizmin oluşturduğu ekonomik büyüklük İtalya ekonomisinin yüzde </w:t>
      </w:r>
      <w:r w:rsidRPr="005C5FC9">
        <w:rPr>
          <w:sz w:val="24"/>
          <w:szCs w:val="24"/>
        </w:rPr>
        <w:t>10,3</w:t>
      </w:r>
      <w:r w:rsidR="007B5A01">
        <w:rPr>
          <w:sz w:val="24"/>
          <w:szCs w:val="24"/>
        </w:rPr>
        <w:t xml:space="preserve">’üne karşılık geliyor. </w:t>
      </w:r>
      <w:r w:rsidRPr="005C5FC9">
        <w:rPr>
          <w:sz w:val="24"/>
          <w:szCs w:val="24"/>
        </w:rPr>
        <w:t>Turizm sektörü İtalya’da 2 milyon 681 bin kişiye</w:t>
      </w:r>
      <w:r w:rsidR="00A53E02" w:rsidRPr="005C5FC9">
        <w:rPr>
          <w:sz w:val="24"/>
          <w:szCs w:val="24"/>
        </w:rPr>
        <w:t xml:space="preserve"> doğrudan ve dolaylı olarak</w:t>
      </w:r>
      <w:r w:rsidRPr="005C5FC9">
        <w:rPr>
          <w:sz w:val="24"/>
          <w:szCs w:val="24"/>
        </w:rPr>
        <w:t xml:space="preserve"> iş olanağı sağlayarak ülkedeki toplam istihdamın yüzde 11,7’sini oluşturuyor.</w:t>
      </w:r>
    </w:p>
    <w:p w:rsidR="004E4848" w:rsidRDefault="004E4848" w:rsidP="004E4848">
      <w:pPr>
        <w:jc w:val="both"/>
      </w:pPr>
      <w:r>
        <w:rPr>
          <w:noProof/>
          <w:lang w:eastAsia="tr-TR"/>
        </w:rPr>
        <w:lastRenderedPageBreak/>
        <w:drawing>
          <wp:inline distT="0" distB="0" distL="0" distR="0" wp14:anchorId="45A9A67E" wp14:editId="18651C6C">
            <wp:extent cx="5433237" cy="2083981"/>
            <wp:effectExtent l="38100" t="38100" r="129540" b="10731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4848" w:rsidRPr="005C5FC9" w:rsidRDefault="004E4848" w:rsidP="004E4848">
      <w:pPr>
        <w:jc w:val="both"/>
        <w:rPr>
          <w:sz w:val="20"/>
          <w:szCs w:val="20"/>
        </w:rPr>
      </w:pPr>
      <w:r w:rsidRPr="005C5FC9">
        <w:rPr>
          <w:sz w:val="20"/>
          <w:szCs w:val="20"/>
        </w:rPr>
        <w:t>* Kaynak: WTTC</w:t>
      </w:r>
    </w:p>
    <w:p w:rsidR="004E4848" w:rsidRPr="005C5FC9" w:rsidRDefault="004E4848" w:rsidP="004E4848">
      <w:pPr>
        <w:jc w:val="both"/>
        <w:rPr>
          <w:b/>
          <w:sz w:val="24"/>
          <w:szCs w:val="24"/>
        </w:rPr>
      </w:pPr>
      <w:r w:rsidRPr="005C5FC9">
        <w:rPr>
          <w:b/>
          <w:sz w:val="24"/>
          <w:szCs w:val="24"/>
        </w:rPr>
        <w:t>İTALYA DÜNYANIN EN ÇOK TURİST ÇEKEN 5’İNCİ ÜLKESİ</w:t>
      </w:r>
    </w:p>
    <w:p w:rsidR="005C5FC9" w:rsidRDefault="004E4848" w:rsidP="004E4848">
      <w:pPr>
        <w:jc w:val="both"/>
      </w:pPr>
      <w:r w:rsidRPr="005C5FC9">
        <w:rPr>
          <w:sz w:val="24"/>
          <w:szCs w:val="24"/>
        </w:rPr>
        <w:t>2000’li yılların başında dünyanın en çok turist çeken dördüncü ülkesi konumundaki İtalya, 2004 yılında yerini Çin’e kaptırdı. 2004 ve 2005 yıllarında turist sayısında düşüş yaşayan İtalya 2006 yılı ile birlikte 40 milyon turist sınırını aşmayı başardı. 2008 yılında yaşanan hafif düşüşün ardından turist sayısında istikrarlı bir büyüme dönemine giren İtalya 2012 yılında 46,4 milyon turist sayısına ulaştı.</w:t>
      </w:r>
    </w:p>
    <w:p w:rsidR="004E4848" w:rsidRDefault="004E4848" w:rsidP="004E4848">
      <w:pPr>
        <w:jc w:val="both"/>
      </w:pPr>
      <w:r>
        <w:rPr>
          <w:noProof/>
          <w:lang w:eastAsia="tr-TR"/>
        </w:rPr>
        <w:drawing>
          <wp:inline distT="0" distB="0" distL="0" distR="0" wp14:anchorId="1393FEC3" wp14:editId="2FA14D4B">
            <wp:extent cx="5495026" cy="2967487"/>
            <wp:effectExtent l="38100" t="38100" r="125095" b="118745"/>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4848" w:rsidRDefault="004E4848" w:rsidP="004E4848">
      <w:pPr>
        <w:jc w:val="both"/>
        <w:rPr>
          <w:sz w:val="20"/>
          <w:szCs w:val="20"/>
        </w:rPr>
      </w:pPr>
      <w:r w:rsidRPr="005C5FC9">
        <w:rPr>
          <w:sz w:val="20"/>
          <w:szCs w:val="20"/>
        </w:rPr>
        <w:t>Kaynak: UNWTO</w:t>
      </w:r>
    </w:p>
    <w:p w:rsidR="004E4848" w:rsidRPr="005C5FC9" w:rsidRDefault="004E4848" w:rsidP="004E4848">
      <w:pPr>
        <w:jc w:val="both"/>
        <w:rPr>
          <w:b/>
          <w:sz w:val="24"/>
          <w:szCs w:val="24"/>
        </w:rPr>
      </w:pPr>
      <w:r w:rsidRPr="005C5FC9">
        <w:rPr>
          <w:b/>
          <w:sz w:val="24"/>
          <w:szCs w:val="24"/>
        </w:rPr>
        <w:t>AB ÜYESİ ÜLKELERDE GECELEME SAYISI REKOR KIRDI İTALYA GERİLEDİ</w:t>
      </w:r>
    </w:p>
    <w:p w:rsidR="004E4848" w:rsidRPr="005C5FC9" w:rsidRDefault="004E4848" w:rsidP="004E4848">
      <w:pPr>
        <w:jc w:val="both"/>
        <w:rPr>
          <w:sz w:val="24"/>
          <w:szCs w:val="24"/>
        </w:rPr>
      </w:pPr>
      <w:r w:rsidRPr="005C5FC9">
        <w:rPr>
          <w:sz w:val="24"/>
          <w:szCs w:val="24"/>
        </w:rPr>
        <w:t xml:space="preserve">Son yıllarda yaşanan turist artışına karşın İtalya’daki turistik tesislerde geceleme sayısı düşüş gösterdi. Avrupa Konseyi Resmi İstatistik Dairesi </w:t>
      </w:r>
      <w:proofErr w:type="spellStart"/>
      <w:r w:rsidRPr="005C5FC9">
        <w:rPr>
          <w:sz w:val="24"/>
          <w:szCs w:val="24"/>
        </w:rPr>
        <w:t>Eurostat</w:t>
      </w:r>
      <w:proofErr w:type="spellEnd"/>
      <w:r w:rsidRPr="005C5FC9">
        <w:rPr>
          <w:sz w:val="24"/>
          <w:szCs w:val="24"/>
        </w:rPr>
        <w:t xml:space="preserve"> tarafından açıklanan verilere göre, 2013 yılında AB üyesi ülkelerdeki turistik tesislerde gerçekleşen geceleme sayısı toplamda </w:t>
      </w:r>
      <w:proofErr w:type="gramStart"/>
      <w:r w:rsidRPr="005C5FC9">
        <w:rPr>
          <w:sz w:val="24"/>
          <w:szCs w:val="24"/>
        </w:rPr>
        <w:t>2.6</w:t>
      </w:r>
      <w:proofErr w:type="gramEnd"/>
      <w:r w:rsidRPr="005C5FC9">
        <w:rPr>
          <w:sz w:val="24"/>
          <w:szCs w:val="24"/>
        </w:rPr>
        <w:t xml:space="preserve"> milyara ulaştı. İtalya’daki turistik tesislerde ise bir önceki yıla göre yüzde 4,6’lık gerileme yaşandı ve toplamda 363 milyon geceleme gerçekleştirildi.</w:t>
      </w:r>
    </w:p>
    <w:p w:rsidR="004E4848" w:rsidRDefault="004E4848" w:rsidP="004E4848">
      <w:pPr>
        <w:jc w:val="both"/>
      </w:pPr>
      <w:r w:rsidRPr="004F65D3">
        <w:rPr>
          <w:b/>
          <w:noProof/>
          <w:lang w:eastAsia="tr-TR"/>
        </w:rPr>
        <w:lastRenderedPageBreak/>
        <w:drawing>
          <wp:inline distT="0" distB="0" distL="0" distR="0" wp14:anchorId="2EAE0632" wp14:editId="65307957">
            <wp:extent cx="5486400" cy="3062176"/>
            <wp:effectExtent l="0" t="0" r="19050" b="2413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4848" w:rsidRPr="005C5FC9" w:rsidRDefault="004E4848" w:rsidP="004E4848">
      <w:pPr>
        <w:jc w:val="both"/>
        <w:rPr>
          <w:sz w:val="20"/>
          <w:szCs w:val="20"/>
        </w:rPr>
      </w:pPr>
      <w:r w:rsidRPr="005C5FC9">
        <w:rPr>
          <w:sz w:val="20"/>
          <w:szCs w:val="20"/>
        </w:rPr>
        <w:t xml:space="preserve">Kaynak: </w:t>
      </w:r>
      <w:proofErr w:type="spellStart"/>
      <w:r w:rsidRPr="005C5FC9">
        <w:rPr>
          <w:sz w:val="20"/>
          <w:szCs w:val="20"/>
        </w:rPr>
        <w:t>Eurostat</w:t>
      </w:r>
      <w:proofErr w:type="spellEnd"/>
    </w:p>
    <w:p w:rsidR="004E4848" w:rsidRPr="005C5FC9" w:rsidRDefault="004E4848" w:rsidP="004E4848">
      <w:pPr>
        <w:jc w:val="both"/>
        <w:rPr>
          <w:sz w:val="24"/>
          <w:szCs w:val="24"/>
        </w:rPr>
      </w:pPr>
      <w:r w:rsidRPr="005C5FC9">
        <w:rPr>
          <w:sz w:val="24"/>
          <w:szCs w:val="24"/>
        </w:rPr>
        <w:t>İtalya geceleme sayısı bakımından Fransa ve İspanya’nın ardından en çok geceleme gerçekleştirilen üçüncü ülke oldu. İtalya’daki tesislerde gerçekleşen gecelemelerin 179,6 milyonu yabancı ülke vatandaşları kaynaklı olurken İtalyan vatandaşlarının gerçekleştirdikleri geceleme sayısı ise 183,4 milyon oldu.</w:t>
      </w:r>
    </w:p>
    <w:p w:rsidR="004E4848" w:rsidRDefault="004E4848" w:rsidP="004E4848">
      <w:pPr>
        <w:jc w:val="both"/>
      </w:pPr>
    </w:p>
    <w:p w:rsidR="004E4848" w:rsidRDefault="004E4848" w:rsidP="004E4848">
      <w:pPr>
        <w:jc w:val="both"/>
      </w:pPr>
      <w:r>
        <w:rPr>
          <w:noProof/>
          <w:lang w:eastAsia="tr-TR"/>
        </w:rPr>
        <w:drawing>
          <wp:inline distT="0" distB="0" distL="0" distR="0" wp14:anchorId="0FABDBE5" wp14:editId="4F1F9923">
            <wp:extent cx="5486400" cy="3200400"/>
            <wp:effectExtent l="0" t="0" r="19050"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4848" w:rsidRPr="005C5FC9" w:rsidRDefault="004E4848" w:rsidP="004E4848">
      <w:pPr>
        <w:jc w:val="both"/>
        <w:rPr>
          <w:sz w:val="20"/>
          <w:szCs w:val="20"/>
        </w:rPr>
      </w:pPr>
      <w:r w:rsidRPr="005C5FC9">
        <w:rPr>
          <w:sz w:val="20"/>
          <w:szCs w:val="20"/>
        </w:rPr>
        <w:t xml:space="preserve">Kaynak: </w:t>
      </w:r>
      <w:proofErr w:type="spellStart"/>
      <w:r w:rsidRPr="005C5FC9">
        <w:rPr>
          <w:sz w:val="20"/>
          <w:szCs w:val="20"/>
        </w:rPr>
        <w:t>Eurostat</w:t>
      </w:r>
      <w:proofErr w:type="spellEnd"/>
    </w:p>
    <w:p w:rsidR="004E4848" w:rsidRPr="005C5FC9" w:rsidRDefault="004B7678" w:rsidP="004E4848">
      <w:pPr>
        <w:jc w:val="both"/>
        <w:rPr>
          <w:sz w:val="24"/>
          <w:szCs w:val="24"/>
        </w:rPr>
      </w:pPr>
      <w:r w:rsidRPr="005C5FC9">
        <w:rPr>
          <w:b/>
          <w:sz w:val="24"/>
          <w:szCs w:val="24"/>
        </w:rPr>
        <w:t>10 MİLYONU AŞKIN ALMAN TURİST AĞIRLIYOR</w:t>
      </w:r>
    </w:p>
    <w:p w:rsidR="004B7678" w:rsidRPr="005C5FC9" w:rsidRDefault="00A53E02" w:rsidP="004B7678">
      <w:pPr>
        <w:jc w:val="both"/>
        <w:rPr>
          <w:sz w:val="24"/>
          <w:szCs w:val="24"/>
        </w:rPr>
      </w:pPr>
      <w:r w:rsidRPr="005C5FC9">
        <w:rPr>
          <w:sz w:val="24"/>
          <w:szCs w:val="24"/>
        </w:rPr>
        <w:t>İtalya Ulusal Turizm Gözlemevi (</w:t>
      </w:r>
      <w:proofErr w:type="spellStart"/>
      <w:r w:rsidR="00FB6979" w:rsidRPr="005C5FC9">
        <w:rPr>
          <w:sz w:val="24"/>
          <w:szCs w:val="24"/>
        </w:rPr>
        <w:t>Ontit</w:t>
      </w:r>
      <w:proofErr w:type="spellEnd"/>
      <w:r w:rsidR="00FB6979" w:rsidRPr="005C5FC9">
        <w:rPr>
          <w:sz w:val="24"/>
          <w:szCs w:val="24"/>
        </w:rPr>
        <w:t xml:space="preserve">) </w:t>
      </w:r>
      <w:r w:rsidR="004B7678" w:rsidRPr="005C5FC9">
        <w:rPr>
          <w:sz w:val="24"/>
          <w:szCs w:val="24"/>
        </w:rPr>
        <w:t xml:space="preserve">tarafından açıklanan 2012 yılı verilerine göre, İtalya’nın </w:t>
      </w:r>
      <w:r w:rsidR="00FB6979" w:rsidRPr="005C5FC9">
        <w:rPr>
          <w:sz w:val="24"/>
          <w:szCs w:val="24"/>
        </w:rPr>
        <w:t>turist</w:t>
      </w:r>
      <w:r w:rsidR="004B7678" w:rsidRPr="005C5FC9">
        <w:rPr>
          <w:sz w:val="24"/>
          <w:szCs w:val="24"/>
        </w:rPr>
        <w:t xml:space="preserve"> potansiyelinin en önemli kısmını Almanya, İsviçre, Avusturya ve Fransa gibi komşu ülkelerden giden</w:t>
      </w:r>
      <w:r w:rsidR="00FB6979" w:rsidRPr="005C5FC9">
        <w:rPr>
          <w:sz w:val="24"/>
          <w:szCs w:val="24"/>
        </w:rPr>
        <w:t xml:space="preserve"> ziyaretçiler </w:t>
      </w:r>
      <w:r w:rsidR="004B7678" w:rsidRPr="005C5FC9">
        <w:rPr>
          <w:sz w:val="24"/>
          <w:szCs w:val="24"/>
        </w:rPr>
        <w:t xml:space="preserve">oluşturuyor. </w:t>
      </w:r>
      <w:r w:rsidR="00386B58" w:rsidRPr="005C5FC9">
        <w:rPr>
          <w:sz w:val="24"/>
          <w:szCs w:val="24"/>
        </w:rPr>
        <w:t>2012 yılında 10 milyonu aşkın Alman vatandaşı turistik amaçlı olarak İtalya’ya giderken Alman turistleri ABD’li turistler takip etti.</w:t>
      </w:r>
    </w:p>
    <w:tbl>
      <w:tblPr>
        <w:tblStyle w:val="TabloKlavuzu"/>
        <w:tblW w:w="9330" w:type="dxa"/>
        <w:tblLook w:val="04A0" w:firstRow="1" w:lastRow="0" w:firstColumn="1" w:lastColumn="0" w:noHBand="0" w:noVBand="1"/>
      </w:tblPr>
      <w:tblGrid>
        <w:gridCol w:w="2332"/>
        <w:gridCol w:w="3377"/>
        <w:gridCol w:w="3621"/>
      </w:tblGrid>
      <w:tr w:rsidR="00386B58" w:rsidTr="000266CD">
        <w:trPr>
          <w:trHeight w:val="297"/>
        </w:trPr>
        <w:tc>
          <w:tcPr>
            <w:tcW w:w="9329" w:type="dxa"/>
            <w:gridSpan w:val="3"/>
            <w:shd w:val="clear" w:color="auto" w:fill="D9D9D9" w:themeFill="background1" w:themeFillShade="D9"/>
          </w:tcPr>
          <w:p w:rsidR="00386B58" w:rsidRPr="00921A63" w:rsidRDefault="00386B58" w:rsidP="00AF219E">
            <w:pPr>
              <w:jc w:val="center"/>
              <w:rPr>
                <w:b/>
              </w:rPr>
            </w:pPr>
            <w:r w:rsidRPr="005C5FC9">
              <w:rPr>
                <w:b/>
                <w:sz w:val="24"/>
                <w:szCs w:val="24"/>
              </w:rPr>
              <w:lastRenderedPageBreak/>
              <w:t xml:space="preserve">İTALYA’YA </w:t>
            </w:r>
            <w:r w:rsidR="00AF219E" w:rsidRPr="005C5FC9">
              <w:rPr>
                <w:b/>
                <w:sz w:val="24"/>
                <w:szCs w:val="24"/>
              </w:rPr>
              <w:t>EN ÇOK TURİST GÖNDEREN ÜLKELER</w:t>
            </w:r>
            <w:r w:rsidR="00AF219E">
              <w:rPr>
                <w:b/>
              </w:rPr>
              <w:t xml:space="preserve"> </w:t>
            </w:r>
            <w:r w:rsidR="00AF219E" w:rsidRPr="00AF219E">
              <w:rPr>
                <w:b/>
                <w:sz w:val="16"/>
                <w:szCs w:val="16"/>
              </w:rPr>
              <w:t>(</w:t>
            </w:r>
            <w:r w:rsidRPr="00AF219E">
              <w:rPr>
                <w:b/>
                <w:sz w:val="16"/>
                <w:szCs w:val="16"/>
              </w:rPr>
              <w:t xml:space="preserve">2012 </w:t>
            </w:r>
            <w:r w:rsidR="00AF219E" w:rsidRPr="00AF219E">
              <w:rPr>
                <w:b/>
                <w:sz w:val="16"/>
                <w:szCs w:val="16"/>
              </w:rPr>
              <w:t>VERİLERİ)</w:t>
            </w:r>
          </w:p>
        </w:tc>
      </w:tr>
      <w:tr w:rsidR="00965B04" w:rsidTr="000266CD">
        <w:trPr>
          <w:trHeight w:val="317"/>
        </w:trPr>
        <w:tc>
          <w:tcPr>
            <w:tcW w:w="2332" w:type="dxa"/>
            <w:shd w:val="clear" w:color="auto" w:fill="92D050"/>
          </w:tcPr>
          <w:p w:rsidR="00965B04" w:rsidRPr="00921A63" w:rsidRDefault="00965B04" w:rsidP="0007777E">
            <w:pPr>
              <w:jc w:val="both"/>
              <w:rPr>
                <w:b/>
              </w:rPr>
            </w:pPr>
            <w:r w:rsidRPr="00921A63">
              <w:rPr>
                <w:b/>
              </w:rPr>
              <w:t>ÜLKE</w:t>
            </w:r>
          </w:p>
        </w:tc>
        <w:tc>
          <w:tcPr>
            <w:tcW w:w="3377" w:type="dxa"/>
            <w:shd w:val="clear" w:color="auto" w:fill="92D050"/>
          </w:tcPr>
          <w:p w:rsidR="00965B04" w:rsidRPr="00AF219E" w:rsidRDefault="00965B04" w:rsidP="00386B58">
            <w:pPr>
              <w:jc w:val="center"/>
              <w:rPr>
                <w:b/>
              </w:rPr>
            </w:pPr>
            <w:r w:rsidRPr="00AF219E">
              <w:rPr>
                <w:b/>
              </w:rPr>
              <w:t>TOPLAM ZİYARETÇİ</w:t>
            </w:r>
          </w:p>
        </w:tc>
        <w:tc>
          <w:tcPr>
            <w:tcW w:w="3621" w:type="dxa"/>
            <w:shd w:val="clear" w:color="auto" w:fill="92D050"/>
          </w:tcPr>
          <w:p w:rsidR="00965B04" w:rsidRPr="00AF219E" w:rsidRDefault="00965B04" w:rsidP="00386B58">
            <w:pPr>
              <w:jc w:val="center"/>
              <w:rPr>
                <w:b/>
              </w:rPr>
            </w:pPr>
            <w:r w:rsidRPr="00AF219E">
              <w:rPr>
                <w:b/>
              </w:rPr>
              <w:t>GECELEME SAYISI</w:t>
            </w:r>
          </w:p>
        </w:tc>
      </w:tr>
      <w:tr w:rsidR="00965B04" w:rsidTr="000266CD">
        <w:trPr>
          <w:trHeight w:val="317"/>
        </w:trPr>
        <w:tc>
          <w:tcPr>
            <w:tcW w:w="2332" w:type="dxa"/>
            <w:shd w:val="clear" w:color="auto" w:fill="95B3D7" w:themeFill="accent1" w:themeFillTint="99"/>
          </w:tcPr>
          <w:p w:rsidR="00965B04" w:rsidRPr="00921A63" w:rsidRDefault="00965B04" w:rsidP="0007777E">
            <w:pPr>
              <w:rPr>
                <w:b/>
              </w:rPr>
            </w:pPr>
            <w:r>
              <w:rPr>
                <w:b/>
              </w:rPr>
              <w:t>ALMANYA</w:t>
            </w:r>
          </w:p>
        </w:tc>
        <w:tc>
          <w:tcPr>
            <w:tcW w:w="3377" w:type="dxa"/>
            <w:shd w:val="clear" w:color="auto" w:fill="95B3D7" w:themeFill="accent1" w:themeFillTint="99"/>
          </w:tcPr>
          <w:p w:rsidR="00965B04" w:rsidRDefault="00965B04" w:rsidP="00965B04">
            <w:pPr>
              <w:jc w:val="center"/>
            </w:pPr>
            <w:r>
              <w:t>10 192 697</w:t>
            </w:r>
          </w:p>
        </w:tc>
        <w:tc>
          <w:tcPr>
            <w:tcW w:w="3621" w:type="dxa"/>
            <w:shd w:val="clear" w:color="auto" w:fill="95B3D7" w:themeFill="accent1" w:themeFillTint="99"/>
          </w:tcPr>
          <w:p w:rsidR="00965B04" w:rsidRDefault="00965B04" w:rsidP="0007777E">
            <w:pPr>
              <w:jc w:val="center"/>
            </w:pPr>
            <w:r>
              <w:t>51 752 263</w:t>
            </w:r>
          </w:p>
        </w:tc>
      </w:tr>
      <w:tr w:rsidR="00965B04" w:rsidTr="000266CD">
        <w:trPr>
          <w:trHeight w:val="297"/>
        </w:trPr>
        <w:tc>
          <w:tcPr>
            <w:tcW w:w="2332" w:type="dxa"/>
            <w:shd w:val="clear" w:color="auto" w:fill="95B3D7" w:themeFill="accent1" w:themeFillTint="99"/>
          </w:tcPr>
          <w:p w:rsidR="00965B04" w:rsidRPr="00921A63" w:rsidRDefault="00965B04" w:rsidP="0007777E">
            <w:pPr>
              <w:rPr>
                <w:b/>
              </w:rPr>
            </w:pPr>
            <w:r>
              <w:rPr>
                <w:b/>
              </w:rPr>
              <w:t>ABD</w:t>
            </w:r>
          </w:p>
        </w:tc>
        <w:tc>
          <w:tcPr>
            <w:tcW w:w="3377" w:type="dxa"/>
            <w:shd w:val="clear" w:color="auto" w:fill="95B3D7" w:themeFill="accent1" w:themeFillTint="99"/>
          </w:tcPr>
          <w:p w:rsidR="00965B04" w:rsidRDefault="00965B04" w:rsidP="00965B04">
            <w:pPr>
              <w:jc w:val="center"/>
            </w:pPr>
            <w:r>
              <w:t>4 442 549</w:t>
            </w:r>
          </w:p>
        </w:tc>
        <w:tc>
          <w:tcPr>
            <w:tcW w:w="3621" w:type="dxa"/>
            <w:shd w:val="clear" w:color="auto" w:fill="95B3D7" w:themeFill="accent1" w:themeFillTint="99"/>
          </w:tcPr>
          <w:p w:rsidR="00965B04" w:rsidRDefault="00965B04" w:rsidP="0007777E">
            <w:pPr>
              <w:jc w:val="center"/>
            </w:pPr>
            <w:r>
              <w:t>11 449 446</w:t>
            </w:r>
          </w:p>
        </w:tc>
      </w:tr>
      <w:tr w:rsidR="00965B04" w:rsidTr="000266CD">
        <w:trPr>
          <w:trHeight w:val="317"/>
        </w:trPr>
        <w:tc>
          <w:tcPr>
            <w:tcW w:w="2332" w:type="dxa"/>
            <w:shd w:val="clear" w:color="auto" w:fill="95B3D7" w:themeFill="accent1" w:themeFillTint="99"/>
          </w:tcPr>
          <w:p w:rsidR="00965B04" w:rsidRPr="00921A63" w:rsidRDefault="00965B04" w:rsidP="0007777E">
            <w:pPr>
              <w:rPr>
                <w:b/>
              </w:rPr>
            </w:pPr>
            <w:r w:rsidRPr="00921A63">
              <w:rPr>
                <w:b/>
              </w:rPr>
              <w:t>FRANSA</w:t>
            </w:r>
          </w:p>
        </w:tc>
        <w:tc>
          <w:tcPr>
            <w:tcW w:w="3377" w:type="dxa"/>
            <w:shd w:val="clear" w:color="auto" w:fill="95B3D7" w:themeFill="accent1" w:themeFillTint="99"/>
          </w:tcPr>
          <w:p w:rsidR="00965B04" w:rsidRDefault="00965B04" w:rsidP="00965B04">
            <w:pPr>
              <w:jc w:val="center"/>
            </w:pPr>
            <w:r>
              <w:t>3 700 775</w:t>
            </w:r>
          </w:p>
        </w:tc>
        <w:tc>
          <w:tcPr>
            <w:tcW w:w="3621" w:type="dxa"/>
            <w:shd w:val="clear" w:color="auto" w:fill="95B3D7" w:themeFill="accent1" w:themeFillTint="99"/>
          </w:tcPr>
          <w:p w:rsidR="00965B04" w:rsidRDefault="00965B04" w:rsidP="0007777E">
            <w:pPr>
              <w:jc w:val="center"/>
            </w:pPr>
            <w:r>
              <w:t>11 369 866</w:t>
            </w:r>
          </w:p>
        </w:tc>
      </w:tr>
      <w:tr w:rsidR="00965B04" w:rsidTr="000266CD">
        <w:trPr>
          <w:trHeight w:val="317"/>
        </w:trPr>
        <w:tc>
          <w:tcPr>
            <w:tcW w:w="2332" w:type="dxa"/>
            <w:shd w:val="clear" w:color="auto" w:fill="95B3D7" w:themeFill="accent1" w:themeFillTint="99"/>
          </w:tcPr>
          <w:p w:rsidR="00965B04" w:rsidRPr="00921A63" w:rsidRDefault="00965B04" w:rsidP="0007777E">
            <w:pPr>
              <w:rPr>
                <w:b/>
              </w:rPr>
            </w:pPr>
            <w:r>
              <w:rPr>
                <w:b/>
              </w:rPr>
              <w:t>BİRLEŞİK KRALLIK</w:t>
            </w:r>
          </w:p>
        </w:tc>
        <w:tc>
          <w:tcPr>
            <w:tcW w:w="3377" w:type="dxa"/>
            <w:shd w:val="clear" w:color="auto" w:fill="95B3D7" w:themeFill="accent1" w:themeFillTint="99"/>
          </w:tcPr>
          <w:p w:rsidR="00965B04" w:rsidRDefault="00965B04" w:rsidP="00965B04">
            <w:pPr>
              <w:jc w:val="center"/>
            </w:pPr>
            <w:r>
              <w:t>2 890 015</w:t>
            </w:r>
          </w:p>
        </w:tc>
        <w:tc>
          <w:tcPr>
            <w:tcW w:w="3621" w:type="dxa"/>
            <w:shd w:val="clear" w:color="auto" w:fill="95B3D7" w:themeFill="accent1" w:themeFillTint="99"/>
          </w:tcPr>
          <w:p w:rsidR="00965B04" w:rsidRDefault="00AF219E" w:rsidP="00AF219E">
            <w:pPr>
              <w:jc w:val="center"/>
            </w:pPr>
            <w:r>
              <w:t>11 131 968</w:t>
            </w:r>
          </w:p>
        </w:tc>
      </w:tr>
      <w:tr w:rsidR="00965B04" w:rsidTr="000266CD">
        <w:trPr>
          <w:trHeight w:val="297"/>
        </w:trPr>
        <w:tc>
          <w:tcPr>
            <w:tcW w:w="2332" w:type="dxa"/>
            <w:shd w:val="clear" w:color="auto" w:fill="95B3D7" w:themeFill="accent1" w:themeFillTint="99"/>
          </w:tcPr>
          <w:p w:rsidR="00965B04" w:rsidRPr="00921A63" w:rsidRDefault="00965B04" w:rsidP="0007777E">
            <w:pPr>
              <w:rPr>
                <w:b/>
              </w:rPr>
            </w:pPr>
            <w:r>
              <w:rPr>
                <w:b/>
              </w:rPr>
              <w:t>İSVİÇRE</w:t>
            </w:r>
          </w:p>
        </w:tc>
        <w:tc>
          <w:tcPr>
            <w:tcW w:w="3377" w:type="dxa"/>
            <w:shd w:val="clear" w:color="auto" w:fill="95B3D7" w:themeFill="accent1" w:themeFillTint="99"/>
          </w:tcPr>
          <w:p w:rsidR="00965B04" w:rsidRDefault="00965B04" w:rsidP="00965B04">
            <w:pPr>
              <w:jc w:val="center"/>
            </w:pPr>
            <w:r>
              <w:t>2 151 675</w:t>
            </w:r>
          </w:p>
        </w:tc>
        <w:tc>
          <w:tcPr>
            <w:tcW w:w="3621" w:type="dxa"/>
            <w:shd w:val="clear" w:color="auto" w:fill="95B3D7" w:themeFill="accent1" w:themeFillTint="99"/>
          </w:tcPr>
          <w:p w:rsidR="00965B04" w:rsidRDefault="00AF219E" w:rsidP="00965B04">
            <w:pPr>
              <w:jc w:val="center"/>
            </w:pPr>
            <w:r>
              <w:t>8 734 765</w:t>
            </w:r>
          </w:p>
        </w:tc>
      </w:tr>
      <w:tr w:rsidR="00965B04" w:rsidTr="000266CD">
        <w:trPr>
          <w:trHeight w:val="317"/>
        </w:trPr>
        <w:tc>
          <w:tcPr>
            <w:tcW w:w="2332" w:type="dxa"/>
            <w:shd w:val="clear" w:color="auto" w:fill="95B3D7" w:themeFill="accent1" w:themeFillTint="99"/>
          </w:tcPr>
          <w:p w:rsidR="00965B04" w:rsidRPr="00921A63" w:rsidRDefault="00965B04" w:rsidP="0007777E">
            <w:pPr>
              <w:rPr>
                <w:b/>
              </w:rPr>
            </w:pPr>
            <w:r>
              <w:rPr>
                <w:b/>
              </w:rPr>
              <w:t>AVUSTURYA</w:t>
            </w:r>
          </w:p>
        </w:tc>
        <w:tc>
          <w:tcPr>
            <w:tcW w:w="3377" w:type="dxa"/>
            <w:shd w:val="clear" w:color="auto" w:fill="95B3D7" w:themeFill="accent1" w:themeFillTint="99"/>
          </w:tcPr>
          <w:p w:rsidR="00965B04" w:rsidRDefault="00965B04" w:rsidP="00965B04">
            <w:pPr>
              <w:jc w:val="center"/>
            </w:pPr>
            <w:r>
              <w:t>2 110 605</w:t>
            </w:r>
          </w:p>
        </w:tc>
        <w:tc>
          <w:tcPr>
            <w:tcW w:w="3621" w:type="dxa"/>
            <w:shd w:val="clear" w:color="auto" w:fill="95B3D7" w:themeFill="accent1" w:themeFillTint="99"/>
          </w:tcPr>
          <w:p w:rsidR="00965B04" w:rsidRDefault="00AF219E" w:rsidP="0007777E">
            <w:pPr>
              <w:jc w:val="center"/>
            </w:pPr>
            <w:r>
              <w:t>8 505 045</w:t>
            </w:r>
          </w:p>
        </w:tc>
      </w:tr>
      <w:tr w:rsidR="00965B04" w:rsidTr="000266CD">
        <w:trPr>
          <w:trHeight w:val="317"/>
        </w:trPr>
        <w:tc>
          <w:tcPr>
            <w:tcW w:w="2332" w:type="dxa"/>
            <w:shd w:val="clear" w:color="auto" w:fill="95B3D7" w:themeFill="accent1" w:themeFillTint="99"/>
          </w:tcPr>
          <w:p w:rsidR="00965B04" w:rsidRPr="00921A63" w:rsidRDefault="00965B04" w:rsidP="0007777E">
            <w:pPr>
              <w:rPr>
                <w:b/>
              </w:rPr>
            </w:pPr>
            <w:r>
              <w:rPr>
                <w:b/>
              </w:rPr>
              <w:t>HOLLANDA</w:t>
            </w:r>
          </w:p>
        </w:tc>
        <w:tc>
          <w:tcPr>
            <w:tcW w:w="3377" w:type="dxa"/>
            <w:shd w:val="clear" w:color="auto" w:fill="95B3D7" w:themeFill="accent1" w:themeFillTint="99"/>
          </w:tcPr>
          <w:p w:rsidR="00965B04" w:rsidRDefault="00965B04" w:rsidP="00965B04">
            <w:pPr>
              <w:jc w:val="center"/>
            </w:pPr>
            <w:r>
              <w:t>1 959 306</w:t>
            </w:r>
          </w:p>
        </w:tc>
        <w:tc>
          <w:tcPr>
            <w:tcW w:w="3621" w:type="dxa"/>
            <w:shd w:val="clear" w:color="auto" w:fill="95B3D7" w:themeFill="accent1" w:themeFillTint="99"/>
          </w:tcPr>
          <w:p w:rsidR="00965B04" w:rsidRDefault="00AF219E" w:rsidP="0007777E">
            <w:pPr>
              <w:jc w:val="center"/>
            </w:pPr>
            <w:r>
              <w:t>11 303 681</w:t>
            </w:r>
          </w:p>
        </w:tc>
      </w:tr>
      <w:tr w:rsidR="00965B04" w:rsidTr="000266CD">
        <w:trPr>
          <w:trHeight w:val="297"/>
        </w:trPr>
        <w:tc>
          <w:tcPr>
            <w:tcW w:w="2332" w:type="dxa"/>
            <w:shd w:val="clear" w:color="auto" w:fill="95B3D7" w:themeFill="accent1" w:themeFillTint="99"/>
          </w:tcPr>
          <w:p w:rsidR="00965B04" w:rsidRPr="00921A63" w:rsidRDefault="00965B04" w:rsidP="00965B04">
            <w:pPr>
              <w:rPr>
                <w:b/>
              </w:rPr>
            </w:pPr>
            <w:r>
              <w:rPr>
                <w:b/>
              </w:rPr>
              <w:t>İSPANYA</w:t>
            </w:r>
          </w:p>
        </w:tc>
        <w:tc>
          <w:tcPr>
            <w:tcW w:w="3377" w:type="dxa"/>
            <w:shd w:val="clear" w:color="auto" w:fill="95B3D7" w:themeFill="accent1" w:themeFillTint="99"/>
          </w:tcPr>
          <w:p w:rsidR="00965B04" w:rsidRDefault="00965B04" w:rsidP="00965B04">
            <w:pPr>
              <w:jc w:val="center"/>
            </w:pPr>
            <w:r>
              <w:t>1 711 807</w:t>
            </w:r>
          </w:p>
        </w:tc>
        <w:tc>
          <w:tcPr>
            <w:tcW w:w="3621" w:type="dxa"/>
            <w:shd w:val="clear" w:color="auto" w:fill="95B3D7" w:themeFill="accent1" w:themeFillTint="99"/>
          </w:tcPr>
          <w:p w:rsidR="00965B04" w:rsidRDefault="00AF219E" w:rsidP="0007777E">
            <w:pPr>
              <w:jc w:val="center"/>
            </w:pPr>
            <w:r>
              <w:t>4 698 626</w:t>
            </w:r>
          </w:p>
        </w:tc>
      </w:tr>
      <w:tr w:rsidR="00965B04" w:rsidTr="000266CD">
        <w:trPr>
          <w:trHeight w:val="317"/>
        </w:trPr>
        <w:tc>
          <w:tcPr>
            <w:tcW w:w="2332" w:type="dxa"/>
            <w:shd w:val="clear" w:color="auto" w:fill="95B3D7" w:themeFill="accent1" w:themeFillTint="99"/>
          </w:tcPr>
          <w:p w:rsidR="00965B04" w:rsidRPr="00921A63" w:rsidRDefault="00965B04" w:rsidP="0007777E">
            <w:pPr>
              <w:rPr>
                <w:b/>
              </w:rPr>
            </w:pPr>
            <w:r>
              <w:rPr>
                <w:b/>
              </w:rPr>
              <w:t>RUSYA</w:t>
            </w:r>
          </w:p>
        </w:tc>
        <w:tc>
          <w:tcPr>
            <w:tcW w:w="3377" w:type="dxa"/>
            <w:shd w:val="clear" w:color="auto" w:fill="95B3D7" w:themeFill="accent1" w:themeFillTint="99"/>
          </w:tcPr>
          <w:p w:rsidR="00965B04" w:rsidRDefault="00965B04" w:rsidP="00965B04">
            <w:pPr>
              <w:jc w:val="center"/>
            </w:pPr>
            <w:r>
              <w:t>1 707 998</w:t>
            </w:r>
          </w:p>
        </w:tc>
        <w:tc>
          <w:tcPr>
            <w:tcW w:w="3621" w:type="dxa"/>
            <w:shd w:val="clear" w:color="auto" w:fill="95B3D7" w:themeFill="accent1" w:themeFillTint="99"/>
          </w:tcPr>
          <w:p w:rsidR="00965B04" w:rsidRDefault="00AF219E" w:rsidP="0007777E">
            <w:pPr>
              <w:jc w:val="center"/>
            </w:pPr>
            <w:r>
              <w:t>6 179 785</w:t>
            </w:r>
          </w:p>
        </w:tc>
      </w:tr>
      <w:tr w:rsidR="00965B04" w:rsidTr="000266CD">
        <w:trPr>
          <w:trHeight w:val="317"/>
        </w:trPr>
        <w:tc>
          <w:tcPr>
            <w:tcW w:w="2332" w:type="dxa"/>
            <w:shd w:val="clear" w:color="auto" w:fill="95B3D7" w:themeFill="accent1" w:themeFillTint="99"/>
          </w:tcPr>
          <w:p w:rsidR="00965B04" w:rsidRPr="00921A63" w:rsidRDefault="00965B04" w:rsidP="0007777E">
            <w:pPr>
              <w:rPr>
                <w:b/>
              </w:rPr>
            </w:pPr>
            <w:r>
              <w:rPr>
                <w:b/>
              </w:rPr>
              <w:t>BELÇİKA</w:t>
            </w:r>
          </w:p>
        </w:tc>
        <w:tc>
          <w:tcPr>
            <w:tcW w:w="3377" w:type="dxa"/>
            <w:shd w:val="clear" w:color="auto" w:fill="95B3D7" w:themeFill="accent1" w:themeFillTint="99"/>
          </w:tcPr>
          <w:p w:rsidR="00965B04" w:rsidRDefault="00965B04" w:rsidP="00965B04">
            <w:pPr>
              <w:jc w:val="center"/>
            </w:pPr>
            <w:r>
              <w:t>1 103 629</w:t>
            </w:r>
          </w:p>
        </w:tc>
        <w:tc>
          <w:tcPr>
            <w:tcW w:w="3621" w:type="dxa"/>
            <w:shd w:val="clear" w:color="auto" w:fill="95B3D7" w:themeFill="accent1" w:themeFillTint="99"/>
          </w:tcPr>
          <w:p w:rsidR="00965B04" w:rsidRDefault="00AF219E" w:rsidP="0007777E">
            <w:pPr>
              <w:jc w:val="center"/>
            </w:pPr>
            <w:r>
              <w:t>4 749 059</w:t>
            </w:r>
          </w:p>
        </w:tc>
      </w:tr>
    </w:tbl>
    <w:p w:rsidR="00FB6979" w:rsidRPr="00262AD3" w:rsidRDefault="00262AD3" w:rsidP="00FB6979">
      <w:pPr>
        <w:jc w:val="both"/>
        <w:rPr>
          <w:sz w:val="20"/>
          <w:szCs w:val="20"/>
        </w:rPr>
      </w:pPr>
      <w:r w:rsidRPr="00262AD3">
        <w:rPr>
          <w:sz w:val="20"/>
          <w:szCs w:val="20"/>
        </w:rPr>
        <w:t xml:space="preserve">Kaynak: </w:t>
      </w:r>
      <w:proofErr w:type="spellStart"/>
      <w:r w:rsidRPr="00262AD3">
        <w:rPr>
          <w:sz w:val="20"/>
          <w:szCs w:val="20"/>
        </w:rPr>
        <w:t>Ontit</w:t>
      </w:r>
      <w:proofErr w:type="spellEnd"/>
    </w:p>
    <w:p w:rsidR="00262AD3" w:rsidRDefault="004B7678" w:rsidP="00262AD3">
      <w:pPr>
        <w:jc w:val="both"/>
        <w:rPr>
          <w:sz w:val="20"/>
          <w:szCs w:val="20"/>
        </w:rPr>
      </w:pPr>
      <w:r>
        <w:rPr>
          <w:noProof/>
          <w:lang w:eastAsia="tr-TR"/>
        </w:rPr>
        <w:drawing>
          <wp:inline distT="0" distB="0" distL="0" distR="0" wp14:anchorId="76F84FC0" wp14:editId="2F1873C9">
            <wp:extent cx="5486400" cy="3577133"/>
            <wp:effectExtent l="0" t="0" r="19050" b="2349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62AD3" w:rsidRPr="00262AD3">
        <w:rPr>
          <w:sz w:val="16"/>
          <w:szCs w:val="16"/>
        </w:rPr>
        <w:t xml:space="preserve"> </w:t>
      </w:r>
      <w:r w:rsidR="00633741">
        <w:rPr>
          <w:sz w:val="20"/>
          <w:szCs w:val="20"/>
        </w:rPr>
        <w:t>Kaynak: ISTAT</w:t>
      </w:r>
      <w:r w:rsidR="00262AD3">
        <w:rPr>
          <w:sz w:val="20"/>
          <w:szCs w:val="20"/>
        </w:rPr>
        <w:t xml:space="preserve"> </w:t>
      </w:r>
    </w:p>
    <w:p w:rsidR="005C5FC9" w:rsidRDefault="005C5FC9" w:rsidP="004E4848">
      <w:pPr>
        <w:jc w:val="both"/>
        <w:rPr>
          <w:b/>
          <w:sz w:val="24"/>
          <w:szCs w:val="24"/>
        </w:rPr>
      </w:pPr>
    </w:p>
    <w:p w:rsidR="002905B4" w:rsidRPr="005C5FC9" w:rsidRDefault="002905B4" w:rsidP="004E4848">
      <w:pPr>
        <w:jc w:val="both"/>
        <w:rPr>
          <w:b/>
          <w:sz w:val="24"/>
          <w:szCs w:val="24"/>
        </w:rPr>
      </w:pPr>
      <w:r w:rsidRPr="005C5FC9">
        <w:rPr>
          <w:b/>
          <w:sz w:val="24"/>
          <w:szCs w:val="24"/>
        </w:rPr>
        <w:t xml:space="preserve">2012 YILI </w:t>
      </w:r>
      <w:r w:rsidR="004E4848" w:rsidRPr="005C5FC9">
        <w:rPr>
          <w:b/>
          <w:sz w:val="24"/>
          <w:szCs w:val="24"/>
        </w:rPr>
        <w:t xml:space="preserve">TURİZM GELİRİ </w:t>
      </w:r>
      <w:r w:rsidRPr="005C5FC9">
        <w:rPr>
          <w:b/>
          <w:sz w:val="24"/>
          <w:szCs w:val="24"/>
        </w:rPr>
        <w:t xml:space="preserve">41,2 </w:t>
      </w:r>
      <w:r w:rsidR="00874DC4" w:rsidRPr="005C5FC9">
        <w:rPr>
          <w:b/>
          <w:sz w:val="24"/>
          <w:szCs w:val="24"/>
        </w:rPr>
        <w:t xml:space="preserve">MİLYAR </w:t>
      </w:r>
      <w:r w:rsidRPr="005C5FC9">
        <w:rPr>
          <w:b/>
          <w:sz w:val="24"/>
          <w:szCs w:val="24"/>
        </w:rPr>
        <w:t>DOLAR</w:t>
      </w:r>
    </w:p>
    <w:p w:rsidR="004E4848" w:rsidRPr="005C5FC9" w:rsidRDefault="004E4848" w:rsidP="004E4848">
      <w:pPr>
        <w:jc w:val="both"/>
        <w:rPr>
          <w:sz w:val="24"/>
          <w:szCs w:val="24"/>
        </w:rPr>
      </w:pPr>
      <w:r w:rsidRPr="005C5FC9">
        <w:rPr>
          <w:sz w:val="24"/>
          <w:szCs w:val="24"/>
        </w:rPr>
        <w:t>Birleşmiş Milletler Dünya Turizm Örgütü (UNWTO) tarafından açıklanan verilere göre, İ</w:t>
      </w:r>
      <w:r w:rsidR="002905B4" w:rsidRPr="005C5FC9">
        <w:rPr>
          <w:sz w:val="24"/>
          <w:szCs w:val="24"/>
        </w:rPr>
        <w:t>talya</w:t>
      </w:r>
      <w:r w:rsidRPr="005C5FC9">
        <w:rPr>
          <w:sz w:val="24"/>
          <w:szCs w:val="24"/>
        </w:rPr>
        <w:t xml:space="preserve">’nın turizmden elde ettiği gelir 2004 yılında </w:t>
      </w:r>
      <w:r w:rsidR="002905B4" w:rsidRPr="005C5FC9">
        <w:rPr>
          <w:sz w:val="24"/>
          <w:szCs w:val="24"/>
        </w:rPr>
        <w:t>35</w:t>
      </w:r>
      <w:r w:rsidRPr="005C5FC9">
        <w:rPr>
          <w:sz w:val="24"/>
          <w:szCs w:val="24"/>
        </w:rPr>
        <w:t>,</w:t>
      </w:r>
      <w:r w:rsidR="002905B4" w:rsidRPr="005C5FC9">
        <w:rPr>
          <w:sz w:val="24"/>
          <w:szCs w:val="24"/>
        </w:rPr>
        <w:t>7</w:t>
      </w:r>
      <w:r w:rsidRPr="005C5FC9">
        <w:rPr>
          <w:sz w:val="24"/>
          <w:szCs w:val="24"/>
        </w:rPr>
        <w:t xml:space="preserve"> milyar dolar </w:t>
      </w:r>
      <w:r w:rsidR="002905B4" w:rsidRPr="005C5FC9">
        <w:rPr>
          <w:sz w:val="24"/>
          <w:szCs w:val="24"/>
        </w:rPr>
        <w:t xml:space="preserve">düzeyinde </w:t>
      </w:r>
      <w:r w:rsidRPr="005C5FC9">
        <w:rPr>
          <w:sz w:val="24"/>
          <w:szCs w:val="24"/>
        </w:rPr>
        <w:t>iken 20</w:t>
      </w:r>
      <w:r w:rsidR="002905B4" w:rsidRPr="005C5FC9">
        <w:rPr>
          <w:sz w:val="24"/>
          <w:szCs w:val="24"/>
        </w:rPr>
        <w:t>09 yılında 40,2 milyar dolar seviyesine 2012 yılında ise 41,2</w:t>
      </w:r>
      <w:r w:rsidRPr="005C5FC9">
        <w:rPr>
          <w:sz w:val="24"/>
          <w:szCs w:val="24"/>
        </w:rPr>
        <w:t xml:space="preserve"> milyar dolara yükseldi.</w:t>
      </w:r>
    </w:p>
    <w:p w:rsidR="004E4848" w:rsidRDefault="004E4848" w:rsidP="004E4848">
      <w:pPr>
        <w:jc w:val="both"/>
      </w:pPr>
      <w:r>
        <w:rPr>
          <w:noProof/>
          <w:lang w:eastAsia="tr-TR"/>
        </w:rPr>
        <w:lastRenderedPageBreak/>
        <w:drawing>
          <wp:inline distT="0" distB="0" distL="0" distR="0" wp14:anchorId="37DC94BE" wp14:editId="2443143E">
            <wp:extent cx="5494352" cy="1741336"/>
            <wp:effectExtent l="76200" t="38100" r="87630" b="10668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1346CF">
        <w:t>*</w:t>
      </w:r>
      <w:r w:rsidRPr="005C5FC9">
        <w:rPr>
          <w:sz w:val="20"/>
          <w:szCs w:val="20"/>
        </w:rPr>
        <w:t>Kaynak: UNWTO</w:t>
      </w:r>
    </w:p>
    <w:p w:rsidR="00BA69A0" w:rsidRPr="005C5FC9" w:rsidRDefault="000266CD" w:rsidP="004E4848">
      <w:pPr>
        <w:jc w:val="both"/>
        <w:rPr>
          <w:b/>
          <w:sz w:val="24"/>
          <w:szCs w:val="24"/>
        </w:rPr>
      </w:pPr>
      <w:r w:rsidRPr="005C5FC9">
        <w:rPr>
          <w:b/>
          <w:sz w:val="24"/>
          <w:szCs w:val="24"/>
        </w:rPr>
        <w:t>İTALYANLAR</w:t>
      </w:r>
      <w:r w:rsidR="00BA69A0" w:rsidRPr="005C5FC9">
        <w:rPr>
          <w:b/>
          <w:sz w:val="24"/>
          <w:szCs w:val="24"/>
        </w:rPr>
        <w:t xml:space="preserve"> 2012’DE 78 MİLYON SEYAHAT GERÇEKLEŞTİRDİ</w:t>
      </w:r>
    </w:p>
    <w:p w:rsidR="00490A1C" w:rsidRPr="005C5FC9" w:rsidRDefault="000266CD" w:rsidP="004E4848">
      <w:pPr>
        <w:jc w:val="both"/>
        <w:rPr>
          <w:sz w:val="24"/>
          <w:szCs w:val="24"/>
        </w:rPr>
      </w:pPr>
      <w:r w:rsidRPr="005C5FC9">
        <w:rPr>
          <w:sz w:val="24"/>
          <w:szCs w:val="24"/>
        </w:rPr>
        <w:t xml:space="preserve">İtalya Ulusal İstatistik Enstitüsü (ISTAT) tarafından açıklanan verilere göre İtalyanlar 2012 yılında </w:t>
      </w:r>
      <w:r w:rsidR="00490A1C" w:rsidRPr="005C5FC9">
        <w:rPr>
          <w:sz w:val="24"/>
          <w:szCs w:val="24"/>
        </w:rPr>
        <w:t>toplam 78 milyon 703 bin seyahat gerçekleştirdiler. Turistik tesisler dışındaki konaklamaları da kapsayan bu veriye göre İtalyan vatandaşlarının bu seyahatleri neticesinde gerçekleştirdikleri geceleme sayısı ise 501 milyon 59 bin</w:t>
      </w:r>
      <w:r w:rsidR="00D20FA1" w:rsidRPr="005C5FC9">
        <w:rPr>
          <w:sz w:val="24"/>
          <w:szCs w:val="24"/>
        </w:rPr>
        <w:t>e ulaştı.</w:t>
      </w:r>
    </w:p>
    <w:p w:rsidR="00DB0C93" w:rsidRPr="005C5FC9" w:rsidRDefault="00DB0C93" w:rsidP="00DB0C93">
      <w:pPr>
        <w:jc w:val="both"/>
        <w:rPr>
          <w:sz w:val="24"/>
          <w:szCs w:val="24"/>
        </w:rPr>
      </w:pPr>
      <w:r w:rsidRPr="005C5FC9">
        <w:rPr>
          <w:sz w:val="24"/>
          <w:szCs w:val="24"/>
        </w:rPr>
        <w:t xml:space="preserve">İtalya vatandaşlarının gerçekleştirdiği seyahatlerin yüzde 87,3’ünü tatil ve özel amaçlı seyahatler yüzde 12,7’sini ise iş seyahatleri oluşturdu. </w:t>
      </w:r>
    </w:p>
    <w:p w:rsidR="00BA69A0" w:rsidRPr="005C5FC9" w:rsidRDefault="00BA69A0" w:rsidP="004E4848">
      <w:pPr>
        <w:jc w:val="both"/>
        <w:rPr>
          <w:b/>
          <w:sz w:val="24"/>
          <w:szCs w:val="24"/>
        </w:rPr>
      </w:pPr>
      <w:r w:rsidRPr="005C5FC9">
        <w:rPr>
          <w:b/>
          <w:sz w:val="24"/>
          <w:szCs w:val="24"/>
        </w:rPr>
        <w:t>YURTDIŞI SEYAHATLERİN PAYI YÜZDE 20,6</w:t>
      </w:r>
    </w:p>
    <w:p w:rsidR="00BA69A0" w:rsidRPr="005C5FC9" w:rsidRDefault="00BA69A0" w:rsidP="004E4848">
      <w:pPr>
        <w:jc w:val="both"/>
        <w:rPr>
          <w:sz w:val="24"/>
          <w:szCs w:val="24"/>
        </w:rPr>
      </w:pPr>
      <w:r w:rsidRPr="005C5FC9">
        <w:rPr>
          <w:sz w:val="24"/>
          <w:szCs w:val="24"/>
        </w:rPr>
        <w:t>İtalya vatandaşlarının 2012 yılında gerçekleştirdikleri seyahatlerin yüzde 79,6’sı</w:t>
      </w:r>
      <w:r w:rsidR="001F7C0B">
        <w:rPr>
          <w:sz w:val="24"/>
          <w:szCs w:val="24"/>
        </w:rPr>
        <w:t>nı ülke içindeki seyahatler,</w:t>
      </w:r>
      <w:r w:rsidRPr="005C5FC9">
        <w:rPr>
          <w:sz w:val="24"/>
          <w:szCs w:val="24"/>
        </w:rPr>
        <w:t xml:space="preserve"> yüzde 20,6’sını </w:t>
      </w:r>
      <w:r w:rsidR="001F7C0B">
        <w:rPr>
          <w:sz w:val="24"/>
          <w:szCs w:val="24"/>
        </w:rPr>
        <w:t xml:space="preserve">ise </w:t>
      </w:r>
      <w:r w:rsidRPr="005C5FC9">
        <w:rPr>
          <w:sz w:val="24"/>
          <w:szCs w:val="24"/>
        </w:rPr>
        <w:t>yurtdışına çıkışlar oluşturdu</w:t>
      </w:r>
      <w:r w:rsidR="00314D51" w:rsidRPr="005C5FC9">
        <w:rPr>
          <w:sz w:val="24"/>
          <w:szCs w:val="24"/>
        </w:rPr>
        <w:t>.</w:t>
      </w:r>
    </w:p>
    <w:tbl>
      <w:tblPr>
        <w:tblStyle w:val="TabloKlavuzu"/>
        <w:tblW w:w="0" w:type="auto"/>
        <w:tblLook w:val="04A0" w:firstRow="1" w:lastRow="0" w:firstColumn="1" w:lastColumn="0" w:noHBand="0" w:noVBand="1"/>
      </w:tblPr>
      <w:tblGrid>
        <w:gridCol w:w="1535"/>
        <w:gridCol w:w="1535"/>
        <w:gridCol w:w="1535"/>
        <w:gridCol w:w="1535"/>
        <w:gridCol w:w="1535"/>
        <w:gridCol w:w="1535"/>
      </w:tblGrid>
      <w:tr w:rsidR="00C53A42" w:rsidTr="00C53A42">
        <w:tc>
          <w:tcPr>
            <w:tcW w:w="9210" w:type="dxa"/>
            <w:gridSpan w:val="6"/>
            <w:shd w:val="clear" w:color="auto" w:fill="BFBFBF" w:themeFill="background1" w:themeFillShade="BF"/>
          </w:tcPr>
          <w:p w:rsidR="00C53A42" w:rsidRPr="005C5FC9" w:rsidRDefault="00C53A42" w:rsidP="00C53A42">
            <w:pPr>
              <w:jc w:val="center"/>
              <w:rPr>
                <w:sz w:val="24"/>
                <w:szCs w:val="24"/>
              </w:rPr>
            </w:pPr>
            <w:r w:rsidRPr="005C5FC9">
              <w:rPr>
                <w:b/>
                <w:sz w:val="24"/>
                <w:szCs w:val="24"/>
              </w:rPr>
              <w:t>İTALYA TURİZMİ ANA GÖSTERGELER (2012 YILI)</w:t>
            </w:r>
          </w:p>
        </w:tc>
      </w:tr>
      <w:tr w:rsidR="00C53A42" w:rsidTr="00C53A42">
        <w:tc>
          <w:tcPr>
            <w:tcW w:w="1535" w:type="dxa"/>
            <w:shd w:val="clear" w:color="auto" w:fill="95B3D7" w:themeFill="accent1" w:themeFillTint="99"/>
          </w:tcPr>
          <w:p w:rsidR="00C53A42" w:rsidRPr="00C53A42" w:rsidRDefault="00C53A42" w:rsidP="00C53A42">
            <w:pPr>
              <w:jc w:val="center"/>
              <w:rPr>
                <w:b/>
              </w:rPr>
            </w:pPr>
            <w:r w:rsidRPr="00C53A42">
              <w:rPr>
                <w:b/>
              </w:rPr>
              <w:t>TOPLAM SEYAHAT</w:t>
            </w:r>
          </w:p>
        </w:tc>
        <w:tc>
          <w:tcPr>
            <w:tcW w:w="1535" w:type="dxa"/>
            <w:shd w:val="clear" w:color="auto" w:fill="95B3D7" w:themeFill="accent1" w:themeFillTint="99"/>
          </w:tcPr>
          <w:p w:rsidR="00C53A42" w:rsidRPr="00C53A42" w:rsidRDefault="00C53A42" w:rsidP="00C53A42">
            <w:pPr>
              <w:jc w:val="center"/>
              <w:rPr>
                <w:b/>
              </w:rPr>
            </w:pPr>
            <w:r w:rsidRPr="00C53A42">
              <w:rPr>
                <w:b/>
              </w:rPr>
              <w:t>TOPLAM GECELEME</w:t>
            </w:r>
          </w:p>
        </w:tc>
        <w:tc>
          <w:tcPr>
            <w:tcW w:w="1535" w:type="dxa"/>
            <w:shd w:val="clear" w:color="auto" w:fill="95B3D7" w:themeFill="accent1" w:themeFillTint="99"/>
          </w:tcPr>
          <w:p w:rsidR="00C53A42" w:rsidRPr="00C53A42" w:rsidRDefault="00C53A42" w:rsidP="00C53A42">
            <w:pPr>
              <w:jc w:val="center"/>
              <w:rPr>
                <w:b/>
              </w:rPr>
            </w:pPr>
            <w:r w:rsidRPr="00C53A42">
              <w:rPr>
                <w:b/>
              </w:rPr>
              <w:t>ÖZEL AMAÇLI SEYAHAT PAYI</w:t>
            </w:r>
          </w:p>
        </w:tc>
        <w:tc>
          <w:tcPr>
            <w:tcW w:w="1535" w:type="dxa"/>
            <w:shd w:val="clear" w:color="auto" w:fill="95B3D7" w:themeFill="accent1" w:themeFillTint="99"/>
          </w:tcPr>
          <w:p w:rsidR="00C53A42" w:rsidRPr="00C53A42" w:rsidRDefault="00C53A42" w:rsidP="00C53A42">
            <w:pPr>
              <w:jc w:val="center"/>
              <w:rPr>
                <w:b/>
              </w:rPr>
            </w:pPr>
            <w:r w:rsidRPr="00C53A42">
              <w:rPr>
                <w:b/>
              </w:rPr>
              <w:t>İŞ SEYAHATİ PAYI</w:t>
            </w:r>
          </w:p>
        </w:tc>
        <w:tc>
          <w:tcPr>
            <w:tcW w:w="1535" w:type="dxa"/>
            <w:shd w:val="clear" w:color="auto" w:fill="95B3D7" w:themeFill="accent1" w:themeFillTint="99"/>
          </w:tcPr>
          <w:p w:rsidR="00C53A42" w:rsidRPr="00C53A42" w:rsidRDefault="00C53A42" w:rsidP="00C53A42">
            <w:pPr>
              <w:jc w:val="center"/>
              <w:rPr>
                <w:b/>
              </w:rPr>
            </w:pPr>
            <w:r w:rsidRPr="00C53A42">
              <w:rPr>
                <w:b/>
              </w:rPr>
              <w:t>YURTİÇİ SEYAHAT</w:t>
            </w:r>
          </w:p>
        </w:tc>
        <w:tc>
          <w:tcPr>
            <w:tcW w:w="1535" w:type="dxa"/>
            <w:shd w:val="clear" w:color="auto" w:fill="95B3D7" w:themeFill="accent1" w:themeFillTint="99"/>
          </w:tcPr>
          <w:p w:rsidR="00C53A42" w:rsidRPr="00C53A42" w:rsidRDefault="00C53A42" w:rsidP="00C53A42">
            <w:pPr>
              <w:jc w:val="center"/>
              <w:rPr>
                <w:b/>
              </w:rPr>
            </w:pPr>
            <w:r w:rsidRPr="00C53A42">
              <w:rPr>
                <w:b/>
              </w:rPr>
              <w:t>YURTDIŞI SEYAHAT</w:t>
            </w:r>
          </w:p>
        </w:tc>
      </w:tr>
      <w:tr w:rsidR="00C53A42" w:rsidTr="00C53A42">
        <w:tc>
          <w:tcPr>
            <w:tcW w:w="1535" w:type="dxa"/>
            <w:shd w:val="clear" w:color="auto" w:fill="C2D69B" w:themeFill="accent3" w:themeFillTint="99"/>
          </w:tcPr>
          <w:p w:rsidR="00C53A42" w:rsidRDefault="00C53A42" w:rsidP="00C53A42">
            <w:pPr>
              <w:jc w:val="center"/>
            </w:pPr>
            <w:r>
              <w:t>78 703 000</w:t>
            </w:r>
          </w:p>
        </w:tc>
        <w:tc>
          <w:tcPr>
            <w:tcW w:w="1535" w:type="dxa"/>
            <w:shd w:val="clear" w:color="auto" w:fill="C2D69B" w:themeFill="accent3" w:themeFillTint="99"/>
          </w:tcPr>
          <w:p w:rsidR="00C53A42" w:rsidRDefault="00C53A42" w:rsidP="00C53A42">
            <w:pPr>
              <w:jc w:val="center"/>
            </w:pPr>
            <w:r>
              <w:t>501 059 000</w:t>
            </w:r>
          </w:p>
        </w:tc>
        <w:tc>
          <w:tcPr>
            <w:tcW w:w="1535" w:type="dxa"/>
            <w:shd w:val="clear" w:color="auto" w:fill="C2D69B" w:themeFill="accent3" w:themeFillTint="99"/>
          </w:tcPr>
          <w:p w:rsidR="00C53A42" w:rsidRDefault="00C53A42" w:rsidP="00C53A42">
            <w:pPr>
              <w:jc w:val="center"/>
            </w:pPr>
            <w:r>
              <w:t>%87,3</w:t>
            </w:r>
          </w:p>
        </w:tc>
        <w:tc>
          <w:tcPr>
            <w:tcW w:w="1535" w:type="dxa"/>
            <w:shd w:val="clear" w:color="auto" w:fill="C2D69B" w:themeFill="accent3" w:themeFillTint="99"/>
          </w:tcPr>
          <w:p w:rsidR="00C53A42" w:rsidRDefault="00C53A42" w:rsidP="00C53A42">
            <w:pPr>
              <w:jc w:val="center"/>
            </w:pPr>
            <w:r>
              <w:t>% 12,7</w:t>
            </w:r>
          </w:p>
        </w:tc>
        <w:tc>
          <w:tcPr>
            <w:tcW w:w="1535" w:type="dxa"/>
            <w:shd w:val="clear" w:color="auto" w:fill="C2D69B" w:themeFill="accent3" w:themeFillTint="99"/>
          </w:tcPr>
          <w:p w:rsidR="00C53A42" w:rsidRDefault="00C53A42" w:rsidP="00C53A42">
            <w:pPr>
              <w:jc w:val="center"/>
            </w:pPr>
            <w:r>
              <w:t>%79,4</w:t>
            </w:r>
          </w:p>
        </w:tc>
        <w:tc>
          <w:tcPr>
            <w:tcW w:w="1535" w:type="dxa"/>
            <w:shd w:val="clear" w:color="auto" w:fill="C2D69B" w:themeFill="accent3" w:themeFillTint="99"/>
          </w:tcPr>
          <w:p w:rsidR="00C53A42" w:rsidRDefault="00C53A42" w:rsidP="00C53A42">
            <w:pPr>
              <w:jc w:val="center"/>
            </w:pPr>
            <w:r>
              <w:t>%20,4</w:t>
            </w:r>
          </w:p>
        </w:tc>
      </w:tr>
    </w:tbl>
    <w:p w:rsidR="00314D51" w:rsidRDefault="009A6058" w:rsidP="004E4848">
      <w:pPr>
        <w:jc w:val="both"/>
      </w:pPr>
      <w:r>
        <w:rPr>
          <w:sz w:val="20"/>
          <w:szCs w:val="20"/>
        </w:rPr>
        <w:t>Kaynak: ISTAT</w:t>
      </w:r>
    </w:p>
    <w:p w:rsidR="00C53A42" w:rsidRPr="005C5FC9" w:rsidRDefault="00DB0C93" w:rsidP="004E4848">
      <w:pPr>
        <w:jc w:val="both"/>
        <w:rPr>
          <w:b/>
          <w:sz w:val="24"/>
          <w:szCs w:val="24"/>
        </w:rPr>
      </w:pPr>
      <w:r w:rsidRPr="005C5FC9">
        <w:rPr>
          <w:b/>
          <w:sz w:val="24"/>
          <w:szCs w:val="24"/>
        </w:rPr>
        <w:t>İTALYA VATANDAŞLARI EN ÇOK YAZ SEZONUNDA TATİLE ÇIKIYOR</w:t>
      </w:r>
    </w:p>
    <w:p w:rsidR="00DB0C93" w:rsidRPr="005C5FC9" w:rsidRDefault="00C53A42" w:rsidP="00DB0C93">
      <w:pPr>
        <w:jc w:val="both"/>
        <w:rPr>
          <w:sz w:val="24"/>
          <w:szCs w:val="24"/>
        </w:rPr>
      </w:pPr>
      <w:r w:rsidRPr="005C5FC9">
        <w:rPr>
          <w:sz w:val="24"/>
          <w:szCs w:val="24"/>
        </w:rPr>
        <w:t xml:space="preserve">ISTAT, tatil amaçlı seyahatlerde ortalama kalış süresini 6,9 gece olarak açıklarken iş seyahatlerindeki </w:t>
      </w:r>
      <w:r w:rsidR="00DB0C93" w:rsidRPr="005C5FC9">
        <w:rPr>
          <w:sz w:val="24"/>
          <w:szCs w:val="24"/>
        </w:rPr>
        <w:t xml:space="preserve">ortalama kalış </w:t>
      </w:r>
      <w:r w:rsidRPr="005C5FC9">
        <w:rPr>
          <w:sz w:val="24"/>
          <w:szCs w:val="24"/>
        </w:rPr>
        <w:t>süre</w:t>
      </w:r>
      <w:r w:rsidR="00DB0C93" w:rsidRPr="005C5FC9">
        <w:rPr>
          <w:sz w:val="24"/>
          <w:szCs w:val="24"/>
        </w:rPr>
        <w:t xml:space="preserve">si </w:t>
      </w:r>
      <w:r w:rsidRPr="005C5FC9">
        <w:rPr>
          <w:sz w:val="24"/>
          <w:szCs w:val="24"/>
        </w:rPr>
        <w:t>2,9 gece oldu.</w:t>
      </w:r>
      <w:r w:rsidR="00DB0C93" w:rsidRPr="005C5FC9">
        <w:rPr>
          <w:sz w:val="24"/>
          <w:szCs w:val="24"/>
        </w:rPr>
        <w:t xml:space="preserve"> </w:t>
      </w:r>
      <w:r w:rsidR="00513237">
        <w:rPr>
          <w:sz w:val="24"/>
          <w:szCs w:val="24"/>
        </w:rPr>
        <w:t>İtalyanların y</w:t>
      </w:r>
      <w:r w:rsidR="00513237" w:rsidRPr="005C5FC9">
        <w:rPr>
          <w:sz w:val="24"/>
          <w:szCs w:val="24"/>
        </w:rPr>
        <w:t xml:space="preserve">az aylarında gerçekleşen ortalama kalış süresi </w:t>
      </w:r>
      <w:proofErr w:type="gramStart"/>
      <w:r w:rsidR="00513237" w:rsidRPr="005C5FC9">
        <w:rPr>
          <w:sz w:val="24"/>
          <w:szCs w:val="24"/>
        </w:rPr>
        <w:t>12.3</w:t>
      </w:r>
      <w:proofErr w:type="gramEnd"/>
      <w:r w:rsidR="00513237" w:rsidRPr="005C5FC9">
        <w:rPr>
          <w:sz w:val="24"/>
          <w:szCs w:val="24"/>
        </w:rPr>
        <w:t xml:space="preserve"> gece olarak açıklan</w:t>
      </w:r>
      <w:r w:rsidR="00513237">
        <w:rPr>
          <w:sz w:val="24"/>
          <w:szCs w:val="24"/>
        </w:rPr>
        <w:t xml:space="preserve">dı. </w:t>
      </w:r>
      <w:r w:rsidR="00DB0C93" w:rsidRPr="005C5FC9">
        <w:rPr>
          <w:sz w:val="24"/>
          <w:szCs w:val="24"/>
        </w:rPr>
        <w:t>İtalya vatandaşlarının gerçekleştirdikleri seyahatlerinin yüzde 43 gibi önemli bir kısmı yaz aylarında gerçekleş</w:t>
      </w:r>
      <w:r w:rsidR="00513237">
        <w:rPr>
          <w:sz w:val="24"/>
          <w:szCs w:val="24"/>
        </w:rPr>
        <w:t>ti</w:t>
      </w:r>
      <w:r w:rsidR="00DB0C93" w:rsidRPr="005C5FC9">
        <w:rPr>
          <w:sz w:val="24"/>
          <w:szCs w:val="24"/>
        </w:rPr>
        <w:t xml:space="preserve">. İtalyanların tatile çıkarken </w:t>
      </w:r>
      <w:r w:rsidR="00513237">
        <w:rPr>
          <w:sz w:val="24"/>
          <w:szCs w:val="24"/>
        </w:rPr>
        <w:t xml:space="preserve">en çok </w:t>
      </w:r>
      <w:r w:rsidR="00DB0C93" w:rsidRPr="005C5FC9">
        <w:rPr>
          <w:sz w:val="24"/>
          <w:szCs w:val="24"/>
        </w:rPr>
        <w:t>tercih ettikleri ulaşım vasıtası ise yüzde 60,3 ile otomobil ol</w:t>
      </w:r>
      <w:r w:rsidR="00513237">
        <w:rPr>
          <w:sz w:val="24"/>
          <w:szCs w:val="24"/>
        </w:rPr>
        <w:t>du</w:t>
      </w:r>
      <w:r w:rsidR="00DB0C93" w:rsidRPr="005C5FC9">
        <w:rPr>
          <w:sz w:val="24"/>
          <w:szCs w:val="24"/>
        </w:rPr>
        <w:t>.</w:t>
      </w:r>
    </w:p>
    <w:p w:rsidR="00A952B7" w:rsidRPr="005C5FC9" w:rsidRDefault="00A952B7" w:rsidP="00A952B7">
      <w:pPr>
        <w:jc w:val="both"/>
        <w:rPr>
          <w:b/>
          <w:sz w:val="24"/>
          <w:szCs w:val="24"/>
        </w:rPr>
      </w:pPr>
      <w:r w:rsidRPr="005C5FC9">
        <w:rPr>
          <w:b/>
          <w:sz w:val="24"/>
          <w:szCs w:val="24"/>
        </w:rPr>
        <w:t>ONLİNE REZERVASYONUN PAYI ARTIYOR</w:t>
      </w:r>
    </w:p>
    <w:p w:rsidR="00575261" w:rsidRPr="005C5FC9" w:rsidRDefault="00A952B7" w:rsidP="00A952B7">
      <w:pPr>
        <w:jc w:val="both"/>
        <w:rPr>
          <w:sz w:val="24"/>
          <w:szCs w:val="24"/>
        </w:rPr>
      </w:pPr>
      <w:r w:rsidRPr="005C5FC9">
        <w:rPr>
          <w:sz w:val="24"/>
          <w:szCs w:val="24"/>
        </w:rPr>
        <w:t>Online rezervasyon kanalları üzerinden tatilini satın alan İtalyanların sayısı son yıllarda ciddi oranda artış göster</w:t>
      </w:r>
      <w:r w:rsidR="001F7C0B">
        <w:rPr>
          <w:sz w:val="24"/>
          <w:szCs w:val="24"/>
        </w:rPr>
        <w:t>di</w:t>
      </w:r>
      <w:r w:rsidRPr="005C5FC9">
        <w:rPr>
          <w:sz w:val="24"/>
          <w:szCs w:val="24"/>
        </w:rPr>
        <w:t xml:space="preserve">. Avrupa Konseyi Resmi İstatistik Dairesi </w:t>
      </w:r>
      <w:proofErr w:type="spellStart"/>
      <w:r w:rsidRPr="005C5FC9">
        <w:rPr>
          <w:sz w:val="24"/>
          <w:szCs w:val="24"/>
        </w:rPr>
        <w:t>Eurostat</w:t>
      </w:r>
      <w:proofErr w:type="spellEnd"/>
      <w:r w:rsidRPr="005C5FC9">
        <w:rPr>
          <w:sz w:val="24"/>
          <w:szCs w:val="24"/>
        </w:rPr>
        <w:t xml:space="preserve"> tarafından açıklanan verilere göre 2008 yılında yüzde 8 düzeyinde olan </w:t>
      </w:r>
      <w:r w:rsidR="00513237">
        <w:rPr>
          <w:sz w:val="24"/>
          <w:szCs w:val="24"/>
        </w:rPr>
        <w:t xml:space="preserve">tatil </w:t>
      </w:r>
      <w:r w:rsidRPr="005C5FC9">
        <w:rPr>
          <w:sz w:val="24"/>
          <w:szCs w:val="24"/>
        </w:rPr>
        <w:t>rezervasyon</w:t>
      </w:r>
      <w:r w:rsidR="001F7C0B">
        <w:rPr>
          <w:sz w:val="24"/>
          <w:szCs w:val="24"/>
        </w:rPr>
        <w:t xml:space="preserve">larında </w:t>
      </w:r>
      <w:proofErr w:type="gramStart"/>
      <w:r w:rsidR="00513237">
        <w:rPr>
          <w:sz w:val="24"/>
          <w:szCs w:val="24"/>
        </w:rPr>
        <w:t>online</w:t>
      </w:r>
      <w:proofErr w:type="gramEnd"/>
      <w:r w:rsidR="00513237">
        <w:rPr>
          <w:sz w:val="24"/>
          <w:szCs w:val="24"/>
        </w:rPr>
        <w:t xml:space="preserve"> </w:t>
      </w:r>
      <w:r w:rsidR="001F7C0B">
        <w:rPr>
          <w:sz w:val="24"/>
          <w:szCs w:val="24"/>
        </w:rPr>
        <w:t xml:space="preserve">satış </w:t>
      </w:r>
      <w:r w:rsidRPr="005C5FC9">
        <w:rPr>
          <w:sz w:val="24"/>
          <w:szCs w:val="24"/>
        </w:rPr>
        <w:t>pay</w:t>
      </w:r>
      <w:r w:rsidR="001F7C0B">
        <w:rPr>
          <w:sz w:val="24"/>
          <w:szCs w:val="24"/>
        </w:rPr>
        <w:t>ı</w:t>
      </w:r>
      <w:r w:rsidRPr="005C5FC9">
        <w:rPr>
          <w:sz w:val="24"/>
          <w:szCs w:val="24"/>
        </w:rPr>
        <w:t xml:space="preserve"> 2012 yılında yüzde 14’e yükseldi. </w:t>
      </w:r>
    </w:p>
    <w:p w:rsidR="004E4848" w:rsidRDefault="00A952B7" w:rsidP="00575261">
      <w:pPr>
        <w:jc w:val="both"/>
        <w:rPr>
          <w:sz w:val="24"/>
          <w:szCs w:val="24"/>
        </w:rPr>
      </w:pPr>
      <w:r w:rsidRPr="005C5FC9">
        <w:rPr>
          <w:sz w:val="24"/>
          <w:szCs w:val="24"/>
        </w:rPr>
        <w:t xml:space="preserve">İtalya Ulusal İstatistik Enstitüsü </w:t>
      </w:r>
      <w:r w:rsidR="00575261" w:rsidRPr="005C5FC9">
        <w:rPr>
          <w:sz w:val="24"/>
          <w:szCs w:val="24"/>
        </w:rPr>
        <w:t xml:space="preserve">ise </w:t>
      </w:r>
      <w:proofErr w:type="spellStart"/>
      <w:r w:rsidRPr="005C5FC9">
        <w:rPr>
          <w:sz w:val="24"/>
          <w:szCs w:val="24"/>
        </w:rPr>
        <w:t>Eurostat’ın</w:t>
      </w:r>
      <w:proofErr w:type="spellEnd"/>
      <w:r w:rsidRPr="005C5FC9">
        <w:rPr>
          <w:sz w:val="24"/>
          <w:szCs w:val="24"/>
        </w:rPr>
        <w:t xml:space="preserve"> çok daha üzerinde bir rakam açıkladı. </w:t>
      </w:r>
      <w:proofErr w:type="spellStart"/>
      <w:r w:rsidRPr="005C5FC9">
        <w:rPr>
          <w:sz w:val="24"/>
          <w:szCs w:val="24"/>
        </w:rPr>
        <w:t>ISTAT’ın</w:t>
      </w:r>
      <w:proofErr w:type="spellEnd"/>
      <w:r w:rsidRPr="005C5FC9">
        <w:rPr>
          <w:sz w:val="24"/>
          <w:szCs w:val="24"/>
        </w:rPr>
        <w:t xml:space="preserve"> verilerine göre 2012 yılında İtalyanların </w:t>
      </w:r>
      <w:proofErr w:type="gramStart"/>
      <w:r w:rsidRPr="005C5FC9">
        <w:rPr>
          <w:sz w:val="24"/>
          <w:szCs w:val="24"/>
        </w:rPr>
        <w:t>online</w:t>
      </w:r>
      <w:proofErr w:type="gramEnd"/>
      <w:r w:rsidRPr="005C5FC9">
        <w:rPr>
          <w:sz w:val="24"/>
          <w:szCs w:val="24"/>
        </w:rPr>
        <w:t xml:space="preserve"> </w:t>
      </w:r>
      <w:r w:rsidR="00575261" w:rsidRPr="005C5FC9">
        <w:rPr>
          <w:sz w:val="24"/>
          <w:szCs w:val="24"/>
        </w:rPr>
        <w:t xml:space="preserve">kanal üzerinden gerçekleştirdiği konaklama ve seyahat </w:t>
      </w:r>
      <w:r w:rsidRPr="005C5FC9">
        <w:rPr>
          <w:sz w:val="24"/>
          <w:szCs w:val="24"/>
        </w:rPr>
        <w:t>rezervasyonların</w:t>
      </w:r>
      <w:r w:rsidR="00575261" w:rsidRPr="005C5FC9">
        <w:rPr>
          <w:sz w:val="24"/>
          <w:szCs w:val="24"/>
        </w:rPr>
        <w:t xml:space="preserve">ın </w:t>
      </w:r>
      <w:r w:rsidRPr="005C5FC9">
        <w:rPr>
          <w:sz w:val="24"/>
          <w:szCs w:val="24"/>
        </w:rPr>
        <w:t>payı yüzde</w:t>
      </w:r>
      <w:r w:rsidR="00575261" w:rsidRPr="005C5FC9">
        <w:rPr>
          <w:sz w:val="24"/>
          <w:szCs w:val="24"/>
        </w:rPr>
        <w:t xml:space="preserve"> 38,3 oldu.</w:t>
      </w:r>
    </w:p>
    <w:p w:rsidR="001F7C0B" w:rsidRPr="005C5FC9" w:rsidRDefault="001F7C0B" w:rsidP="00575261">
      <w:pPr>
        <w:jc w:val="both"/>
        <w:rPr>
          <w:sz w:val="24"/>
          <w:szCs w:val="24"/>
        </w:rPr>
      </w:pPr>
    </w:p>
    <w:p w:rsidR="004E4848" w:rsidRPr="002963CA" w:rsidRDefault="004E4848" w:rsidP="004E4848">
      <w:pPr>
        <w:jc w:val="both"/>
        <w:rPr>
          <w:b/>
          <w:sz w:val="24"/>
          <w:szCs w:val="24"/>
        </w:rPr>
      </w:pPr>
      <w:r w:rsidRPr="002963CA">
        <w:rPr>
          <w:b/>
          <w:sz w:val="24"/>
          <w:szCs w:val="24"/>
        </w:rPr>
        <w:lastRenderedPageBreak/>
        <w:t>TÜRKİYE</w:t>
      </w:r>
      <w:r w:rsidR="00575261" w:rsidRPr="002963CA">
        <w:rPr>
          <w:b/>
          <w:sz w:val="24"/>
          <w:szCs w:val="24"/>
        </w:rPr>
        <w:t xml:space="preserve"> -</w:t>
      </w:r>
      <w:r w:rsidRPr="002963CA">
        <w:rPr>
          <w:b/>
          <w:sz w:val="24"/>
          <w:szCs w:val="24"/>
        </w:rPr>
        <w:t xml:space="preserve"> İ</w:t>
      </w:r>
      <w:r w:rsidR="00575261" w:rsidRPr="002963CA">
        <w:rPr>
          <w:b/>
          <w:sz w:val="24"/>
          <w:szCs w:val="24"/>
        </w:rPr>
        <w:t>TALYA ARASINDAKİ TURİZM HAREKETİ</w:t>
      </w:r>
    </w:p>
    <w:p w:rsidR="004E4848" w:rsidRPr="002963CA" w:rsidRDefault="00575261" w:rsidP="004E4848">
      <w:pPr>
        <w:pStyle w:val="Default"/>
        <w:jc w:val="both"/>
      </w:pPr>
      <w:r w:rsidRPr="002963CA">
        <w:t>İtalya</w:t>
      </w:r>
      <w:r w:rsidR="005C5FC9" w:rsidRPr="002963CA">
        <w:t xml:space="preserve">’dan Türkiye’ye </w:t>
      </w:r>
      <w:r w:rsidR="00611872" w:rsidRPr="002963CA">
        <w:t xml:space="preserve">yönelik turistik talep 1990’lı yıllarda </w:t>
      </w:r>
      <w:r w:rsidR="005C5FC9" w:rsidRPr="002963CA">
        <w:t>inişli çıkışlı bir grafik sergile</w:t>
      </w:r>
      <w:r w:rsidR="00611872" w:rsidRPr="002963CA">
        <w:t>rken 2003 yılının ardından Türkiye’ye İtalya’dan gelen turist sayısı -2012 yılı dışında- istikrarlı bir artış sürecine girdi. Yaşanan artış trendi ile birlikte İtalya</w:t>
      </w:r>
      <w:r w:rsidR="001F7C0B">
        <w:t>,</w:t>
      </w:r>
      <w:r w:rsidR="00611872" w:rsidRPr="002963CA">
        <w:t xml:space="preserve"> </w:t>
      </w:r>
      <w:r w:rsidR="0040086C" w:rsidRPr="002963CA">
        <w:t xml:space="preserve">Türkiye’ye en çok turist gönderen </w:t>
      </w:r>
      <w:r w:rsidR="005C5FC9" w:rsidRPr="002963CA">
        <w:t xml:space="preserve">ülkeler arasında </w:t>
      </w:r>
      <w:r w:rsidR="0040086C" w:rsidRPr="002963CA">
        <w:t xml:space="preserve">11’inci </w:t>
      </w:r>
      <w:r w:rsidR="00611872" w:rsidRPr="002963CA">
        <w:t xml:space="preserve">sıraya yükseldi. </w:t>
      </w:r>
      <w:r w:rsidR="004E4848" w:rsidRPr="002963CA">
        <w:t>Kültür ve Turizm Bakanlığı tarafından açıklanan verilere göre, İ</w:t>
      </w:r>
      <w:r w:rsidR="00611872" w:rsidRPr="002963CA">
        <w:t xml:space="preserve">talyan </w:t>
      </w:r>
      <w:r w:rsidR="004E4848" w:rsidRPr="002963CA">
        <w:t>turistler</w:t>
      </w:r>
      <w:r w:rsidR="00611872" w:rsidRPr="002963CA">
        <w:t xml:space="preserve">in </w:t>
      </w:r>
      <w:r w:rsidR="004E4848" w:rsidRPr="002963CA">
        <w:t>Türkiye’ye gelen toplam turist</w:t>
      </w:r>
      <w:r w:rsidR="00611872" w:rsidRPr="002963CA">
        <w:t xml:space="preserve"> sayısı içindeki payı 2013 yılı itibariyle </w:t>
      </w:r>
      <w:r w:rsidR="004E4848" w:rsidRPr="002963CA">
        <w:t xml:space="preserve">yüzde </w:t>
      </w:r>
      <w:r w:rsidR="00611872" w:rsidRPr="002963CA">
        <w:t>2,10 düzeyinde bulunuyor.</w:t>
      </w:r>
    </w:p>
    <w:p w:rsidR="00611872" w:rsidRDefault="00611872" w:rsidP="004E4848">
      <w:pPr>
        <w:pStyle w:val="Default"/>
        <w:jc w:val="both"/>
        <w:rPr>
          <w:sz w:val="22"/>
          <w:szCs w:val="22"/>
        </w:rPr>
      </w:pPr>
    </w:p>
    <w:p w:rsidR="004E4848" w:rsidRDefault="004E4848" w:rsidP="004E4848">
      <w:pPr>
        <w:pStyle w:val="Default"/>
        <w:jc w:val="both"/>
        <w:rPr>
          <w:sz w:val="22"/>
          <w:szCs w:val="22"/>
        </w:rPr>
      </w:pPr>
      <w:r>
        <w:rPr>
          <w:noProof/>
          <w:sz w:val="22"/>
          <w:szCs w:val="22"/>
          <w:lang w:eastAsia="tr-TR"/>
        </w:rPr>
        <w:drawing>
          <wp:inline distT="0" distB="0" distL="0" distR="0" wp14:anchorId="36115ED2" wp14:editId="536F7235">
            <wp:extent cx="5486400" cy="2935705"/>
            <wp:effectExtent l="38100" t="38100" r="190500" b="15049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E4848" w:rsidRDefault="004E4848" w:rsidP="004E4848">
      <w:pPr>
        <w:pStyle w:val="Default"/>
        <w:jc w:val="both"/>
        <w:rPr>
          <w:sz w:val="22"/>
          <w:szCs w:val="22"/>
        </w:rPr>
      </w:pPr>
    </w:p>
    <w:p w:rsidR="004E4848" w:rsidRPr="002963CA" w:rsidRDefault="004E4848" w:rsidP="004E4848">
      <w:pPr>
        <w:pStyle w:val="Default"/>
        <w:jc w:val="both"/>
        <w:rPr>
          <w:sz w:val="20"/>
          <w:szCs w:val="20"/>
        </w:rPr>
      </w:pPr>
      <w:r w:rsidRPr="002963CA">
        <w:rPr>
          <w:sz w:val="20"/>
          <w:szCs w:val="20"/>
        </w:rPr>
        <w:t>* Kaynak: T.C. Kültür ve Turizm Bakanlığı</w:t>
      </w:r>
    </w:p>
    <w:p w:rsidR="004E4848" w:rsidRPr="002963CA" w:rsidRDefault="004E4848" w:rsidP="004E4848">
      <w:pPr>
        <w:pStyle w:val="Default"/>
        <w:jc w:val="both"/>
      </w:pPr>
    </w:p>
    <w:p w:rsidR="004E4848" w:rsidRPr="002963CA" w:rsidRDefault="004E4848" w:rsidP="004E4848">
      <w:pPr>
        <w:pStyle w:val="Default"/>
        <w:jc w:val="both"/>
        <w:rPr>
          <w:b/>
        </w:rPr>
      </w:pPr>
      <w:r w:rsidRPr="002963CA">
        <w:rPr>
          <w:b/>
        </w:rPr>
        <w:t>İ</w:t>
      </w:r>
      <w:r w:rsidR="000E0D2A" w:rsidRPr="002963CA">
        <w:rPr>
          <w:b/>
        </w:rPr>
        <w:t xml:space="preserve">TALYAN </w:t>
      </w:r>
      <w:r w:rsidRPr="002963CA">
        <w:rPr>
          <w:b/>
        </w:rPr>
        <w:t xml:space="preserve">TURİST TÜRKİYE’DE </w:t>
      </w:r>
      <w:r w:rsidR="000E0D2A" w:rsidRPr="002963CA">
        <w:rPr>
          <w:b/>
        </w:rPr>
        <w:t xml:space="preserve">2,6 </w:t>
      </w:r>
      <w:r w:rsidRPr="002963CA">
        <w:rPr>
          <w:b/>
        </w:rPr>
        <w:t>MİLYON GECELEME GERÇEKLEŞTİRDİ</w:t>
      </w:r>
    </w:p>
    <w:p w:rsidR="000E0D2A" w:rsidRPr="002963CA" w:rsidRDefault="000E0D2A" w:rsidP="004E4848">
      <w:pPr>
        <w:pStyle w:val="Default"/>
        <w:jc w:val="both"/>
        <w:rPr>
          <w:b/>
        </w:rPr>
      </w:pPr>
    </w:p>
    <w:p w:rsidR="001F7C0B" w:rsidRDefault="004E4848" w:rsidP="004E4848">
      <w:pPr>
        <w:pStyle w:val="Default"/>
        <w:jc w:val="both"/>
      </w:pPr>
      <w:r w:rsidRPr="002963CA">
        <w:t>Kültür ve Turizm Bakanlığı tarafından açıklanan verilere göre, İ</w:t>
      </w:r>
      <w:r w:rsidR="000E0D2A" w:rsidRPr="002963CA">
        <w:t xml:space="preserve">talyan </w:t>
      </w:r>
      <w:r w:rsidRPr="002963CA">
        <w:t xml:space="preserve">turistler 2012 yılında Türkiye’de </w:t>
      </w:r>
      <w:r w:rsidR="000E0D2A" w:rsidRPr="002963CA">
        <w:t>2</w:t>
      </w:r>
      <w:r w:rsidRPr="002963CA">
        <w:t xml:space="preserve"> milyon </w:t>
      </w:r>
      <w:r w:rsidR="000E0D2A" w:rsidRPr="002963CA">
        <w:t>695</w:t>
      </w:r>
      <w:r w:rsidRPr="002963CA">
        <w:t xml:space="preserve"> bin geceleme gerçekleştirdi. Bu konaklamaların </w:t>
      </w:r>
      <w:r w:rsidR="002963CA">
        <w:t xml:space="preserve">yüzde 90’a yaklaşan kısmını </w:t>
      </w:r>
      <w:r w:rsidR="000E0D2A" w:rsidRPr="002963CA">
        <w:t xml:space="preserve">otel, motel, </w:t>
      </w:r>
      <w:r w:rsidR="002963CA">
        <w:t xml:space="preserve">pansiyon ve </w:t>
      </w:r>
      <w:r w:rsidR="000E0D2A" w:rsidRPr="002963CA">
        <w:t>tatil köy</w:t>
      </w:r>
      <w:r w:rsidR="002963CA">
        <w:t xml:space="preserve">lerinde gerçekleşen </w:t>
      </w:r>
      <w:r w:rsidR="000E0D2A" w:rsidRPr="002963CA">
        <w:t xml:space="preserve">konaklamalar oluşturdu. </w:t>
      </w:r>
    </w:p>
    <w:p w:rsidR="001F7C0B" w:rsidRDefault="001F7C0B" w:rsidP="004E4848">
      <w:pPr>
        <w:pStyle w:val="Default"/>
        <w:jc w:val="both"/>
      </w:pPr>
    </w:p>
    <w:p w:rsidR="001F7C0B" w:rsidRPr="001F7C0B" w:rsidRDefault="001F7C0B" w:rsidP="004E4848">
      <w:pPr>
        <w:pStyle w:val="Default"/>
        <w:jc w:val="both"/>
      </w:pPr>
      <w:r w:rsidRPr="001F7C0B">
        <w:t xml:space="preserve">Kültür ve Turizm Bakanlığı Tanıtma Genel Müdürlüğü “Pazar Raporları” Araştırmasına göre İtalyan turistlerin Türkiye’ye en çok tarihi ve kültürel değerleri görmek için seyahat ediyorlar. İtalyanların Türkiye’de en çok rağbet gösterdiği </w:t>
      </w:r>
      <w:proofErr w:type="gramStart"/>
      <w:r w:rsidRPr="001F7C0B">
        <w:t>destinasyonlar</w:t>
      </w:r>
      <w:proofErr w:type="gramEnd"/>
      <w:r w:rsidRPr="001F7C0B">
        <w:t>: İstanbul, Kapadokya, İzmir, Muğla ve Antalya.</w:t>
      </w:r>
    </w:p>
    <w:p w:rsidR="001F7C0B" w:rsidRPr="001F7C0B" w:rsidRDefault="001F7C0B" w:rsidP="004E4848">
      <w:pPr>
        <w:pStyle w:val="Default"/>
        <w:jc w:val="both"/>
      </w:pPr>
    </w:p>
    <w:p w:rsidR="008C12C7" w:rsidRDefault="008C12C7" w:rsidP="004E4848">
      <w:pPr>
        <w:pStyle w:val="Default"/>
        <w:jc w:val="both"/>
      </w:pPr>
    </w:p>
    <w:p w:rsidR="008C12C7" w:rsidRDefault="008C12C7" w:rsidP="004E4848">
      <w:pPr>
        <w:pStyle w:val="Default"/>
        <w:jc w:val="both"/>
      </w:pPr>
    </w:p>
    <w:p w:rsidR="008C12C7" w:rsidRDefault="008C12C7" w:rsidP="004E4848">
      <w:pPr>
        <w:pStyle w:val="Default"/>
        <w:jc w:val="both"/>
      </w:pPr>
    </w:p>
    <w:p w:rsidR="008C12C7" w:rsidRDefault="008C12C7" w:rsidP="004E4848">
      <w:pPr>
        <w:pStyle w:val="Default"/>
        <w:jc w:val="both"/>
      </w:pPr>
    </w:p>
    <w:p w:rsidR="008C12C7" w:rsidRDefault="008C12C7" w:rsidP="004E4848">
      <w:pPr>
        <w:pStyle w:val="Default"/>
        <w:jc w:val="both"/>
      </w:pPr>
    </w:p>
    <w:p w:rsidR="008C12C7" w:rsidRDefault="008C12C7" w:rsidP="004E4848">
      <w:pPr>
        <w:pStyle w:val="Default"/>
        <w:jc w:val="both"/>
      </w:pPr>
    </w:p>
    <w:p w:rsidR="008C12C7" w:rsidRDefault="008C12C7" w:rsidP="004E4848">
      <w:pPr>
        <w:pStyle w:val="Default"/>
        <w:jc w:val="both"/>
      </w:pPr>
    </w:p>
    <w:p w:rsidR="000E0D2A" w:rsidRDefault="000E0D2A" w:rsidP="004E4848">
      <w:pPr>
        <w:pStyle w:val="Default"/>
        <w:jc w:val="both"/>
        <w:rPr>
          <w:sz w:val="22"/>
          <w:szCs w:val="22"/>
        </w:rPr>
      </w:pPr>
      <w:r>
        <w:rPr>
          <w:noProof/>
          <w:sz w:val="22"/>
          <w:szCs w:val="22"/>
          <w:lang w:eastAsia="tr-TR"/>
        </w:rPr>
        <w:lastRenderedPageBreak/>
        <w:drawing>
          <wp:inline distT="0" distB="0" distL="0" distR="0">
            <wp:extent cx="5486400" cy="2952750"/>
            <wp:effectExtent l="0" t="0" r="19050" b="1905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E0D2A" w:rsidRDefault="002963CA" w:rsidP="004E4848">
      <w:pPr>
        <w:pStyle w:val="Default"/>
        <w:jc w:val="both"/>
        <w:rPr>
          <w:sz w:val="22"/>
          <w:szCs w:val="22"/>
        </w:rPr>
      </w:pPr>
      <w:r w:rsidRPr="002963CA">
        <w:rPr>
          <w:sz w:val="20"/>
          <w:szCs w:val="20"/>
        </w:rPr>
        <w:t>* Kaynak: T.C. Kültür ve Turizm Bakanlığı</w:t>
      </w:r>
    </w:p>
    <w:p w:rsidR="002963CA" w:rsidRDefault="002963CA" w:rsidP="004E4848">
      <w:pPr>
        <w:pStyle w:val="Default"/>
        <w:jc w:val="both"/>
        <w:rPr>
          <w:sz w:val="22"/>
          <w:szCs w:val="22"/>
        </w:rPr>
      </w:pPr>
    </w:p>
    <w:p w:rsidR="004E4848" w:rsidRPr="00C809EC" w:rsidRDefault="004E4848" w:rsidP="004E4848">
      <w:pPr>
        <w:pStyle w:val="Default"/>
        <w:jc w:val="both"/>
        <w:rPr>
          <w:b/>
        </w:rPr>
      </w:pPr>
      <w:r w:rsidRPr="00C809EC">
        <w:rPr>
          <w:b/>
        </w:rPr>
        <w:t>İ</w:t>
      </w:r>
      <w:r w:rsidR="00C809EC" w:rsidRPr="00C809EC">
        <w:rPr>
          <w:b/>
        </w:rPr>
        <w:t>TALYA</w:t>
      </w:r>
      <w:r w:rsidRPr="00C809EC">
        <w:rPr>
          <w:b/>
        </w:rPr>
        <w:t>’YA GİDEN TÜRK TURİST SAYISI</w:t>
      </w:r>
    </w:p>
    <w:p w:rsidR="004E4848" w:rsidRPr="00C809EC" w:rsidRDefault="004E4848" w:rsidP="004E4848">
      <w:pPr>
        <w:pStyle w:val="Default"/>
        <w:jc w:val="both"/>
      </w:pPr>
    </w:p>
    <w:p w:rsidR="004E4848" w:rsidRDefault="004E4848" w:rsidP="004E4848">
      <w:pPr>
        <w:pStyle w:val="Default"/>
        <w:jc w:val="both"/>
      </w:pPr>
      <w:r w:rsidRPr="00C809EC">
        <w:t>Türkiye İstatistik Kurumu verilerine göre İ</w:t>
      </w:r>
      <w:r w:rsidR="00C809EC" w:rsidRPr="00C809EC">
        <w:t>talya</w:t>
      </w:r>
      <w:r w:rsidR="00C809EC">
        <w:t xml:space="preserve"> Türk turistlerin tatil tercihlerinde öne çıkan </w:t>
      </w:r>
      <w:proofErr w:type="gramStart"/>
      <w:r w:rsidR="00C809EC">
        <w:t>destinasyonlar</w:t>
      </w:r>
      <w:proofErr w:type="gramEnd"/>
      <w:r w:rsidR="00C809EC">
        <w:t xml:space="preserve"> arasında yer alıyor. </w:t>
      </w:r>
      <w:r w:rsidRPr="00C809EC">
        <w:t xml:space="preserve">Türk vatandaşlarının sayısı 2010 yılında </w:t>
      </w:r>
      <w:r w:rsidR="00C809EC">
        <w:t>138</w:t>
      </w:r>
      <w:r w:rsidRPr="00C809EC">
        <w:t xml:space="preserve"> bin iken 2011</w:t>
      </w:r>
      <w:r w:rsidR="00C809EC">
        <w:t xml:space="preserve"> yılında yüzde 38’lik artışla 191 bine çıktı. Türk vatandaşlarının İtalya’ya yönelik taleplerindeki artış 2012 yılında da sürdü. 2012 yılında İtalya’ya giden Türk vatandaşlarının sayısında yüzde 29’luk artış kaydedildi ve 247 bin sayısına ulaşıldı.</w:t>
      </w:r>
    </w:p>
    <w:p w:rsidR="00C809EC" w:rsidRDefault="00C809EC" w:rsidP="004E4848">
      <w:pPr>
        <w:pStyle w:val="Default"/>
        <w:jc w:val="both"/>
        <w:rPr>
          <w:sz w:val="22"/>
          <w:szCs w:val="22"/>
        </w:rPr>
      </w:pPr>
    </w:p>
    <w:tbl>
      <w:tblPr>
        <w:tblStyle w:val="TabloKlavuzu"/>
        <w:tblW w:w="0" w:type="auto"/>
        <w:tblInd w:w="447" w:type="dxa"/>
        <w:tblLook w:val="04A0" w:firstRow="1" w:lastRow="0" w:firstColumn="1" w:lastColumn="0" w:noHBand="0" w:noVBand="1"/>
      </w:tblPr>
      <w:tblGrid>
        <w:gridCol w:w="985"/>
        <w:gridCol w:w="5126"/>
      </w:tblGrid>
      <w:tr w:rsidR="004E4848" w:rsidTr="00513237">
        <w:trPr>
          <w:trHeight w:val="403"/>
        </w:trPr>
        <w:tc>
          <w:tcPr>
            <w:tcW w:w="6111" w:type="dxa"/>
            <w:gridSpan w:val="2"/>
            <w:shd w:val="clear" w:color="auto" w:fill="C2D69B" w:themeFill="accent3" w:themeFillTint="99"/>
          </w:tcPr>
          <w:p w:rsidR="004E4848" w:rsidRPr="00C809EC" w:rsidRDefault="004E4848" w:rsidP="00C809EC">
            <w:pPr>
              <w:pStyle w:val="Default"/>
              <w:jc w:val="both"/>
              <w:rPr>
                <w:b/>
              </w:rPr>
            </w:pPr>
            <w:r w:rsidRPr="00C809EC">
              <w:rPr>
                <w:b/>
              </w:rPr>
              <w:t>İ</w:t>
            </w:r>
            <w:r w:rsidR="00C809EC">
              <w:rPr>
                <w:b/>
              </w:rPr>
              <w:t>TALYA</w:t>
            </w:r>
            <w:r w:rsidRPr="00C809EC">
              <w:rPr>
                <w:b/>
              </w:rPr>
              <w:t>’YA GİDEN TÜRK TURİST SAYISI</w:t>
            </w:r>
          </w:p>
        </w:tc>
      </w:tr>
      <w:tr w:rsidR="004E4848" w:rsidTr="00513237">
        <w:trPr>
          <w:trHeight w:val="360"/>
        </w:trPr>
        <w:tc>
          <w:tcPr>
            <w:tcW w:w="985" w:type="dxa"/>
          </w:tcPr>
          <w:p w:rsidR="004E4848" w:rsidRPr="00513237" w:rsidRDefault="004E4848" w:rsidP="0007777E">
            <w:pPr>
              <w:pStyle w:val="Default"/>
              <w:jc w:val="both"/>
            </w:pPr>
            <w:r w:rsidRPr="00513237">
              <w:t>2010</w:t>
            </w:r>
          </w:p>
        </w:tc>
        <w:tc>
          <w:tcPr>
            <w:tcW w:w="5126" w:type="dxa"/>
          </w:tcPr>
          <w:p w:rsidR="004E4848" w:rsidRPr="00513237" w:rsidRDefault="00C809EC" w:rsidP="00C809EC">
            <w:pPr>
              <w:pStyle w:val="Default"/>
              <w:jc w:val="both"/>
            </w:pPr>
            <w:r w:rsidRPr="00513237">
              <w:t>138</w:t>
            </w:r>
            <w:r w:rsidR="004E4848" w:rsidRPr="00513237">
              <w:t xml:space="preserve"> bin </w:t>
            </w:r>
            <w:r w:rsidRPr="00513237">
              <w:t>271</w:t>
            </w:r>
            <w:r w:rsidR="004E4848" w:rsidRPr="00513237">
              <w:t xml:space="preserve"> kişi</w:t>
            </w:r>
          </w:p>
        </w:tc>
      </w:tr>
      <w:tr w:rsidR="004E4848" w:rsidTr="00513237">
        <w:trPr>
          <w:trHeight w:val="382"/>
        </w:trPr>
        <w:tc>
          <w:tcPr>
            <w:tcW w:w="985" w:type="dxa"/>
          </w:tcPr>
          <w:p w:rsidR="004E4848" w:rsidRPr="00513237" w:rsidRDefault="004E4848" w:rsidP="0007777E">
            <w:pPr>
              <w:pStyle w:val="Default"/>
              <w:jc w:val="both"/>
            </w:pPr>
            <w:r w:rsidRPr="00513237">
              <w:t>2011</w:t>
            </w:r>
          </w:p>
        </w:tc>
        <w:tc>
          <w:tcPr>
            <w:tcW w:w="5126" w:type="dxa"/>
          </w:tcPr>
          <w:p w:rsidR="004E4848" w:rsidRPr="00513237" w:rsidRDefault="00C809EC" w:rsidP="00C809EC">
            <w:pPr>
              <w:pStyle w:val="Default"/>
              <w:jc w:val="both"/>
            </w:pPr>
            <w:r w:rsidRPr="00513237">
              <w:t>191</w:t>
            </w:r>
            <w:r w:rsidR="004E4848" w:rsidRPr="00513237">
              <w:t xml:space="preserve"> bin </w:t>
            </w:r>
            <w:r w:rsidRPr="00513237">
              <w:t>415</w:t>
            </w:r>
            <w:r w:rsidR="004E4848" w:rsidRPr="00513237">
              <w:t xml:space="preserve"> kişi</w:t>
            </w:r>
          </w:p>
        </w:tc>
      </w:tr>
      <w:tr w:rsidR="004E4848" w:rsidTr="00513237">
        <w:trPr>
          <w:trHeight w:val="382"/>
        </w:trPr>
        <w:tc>
          <w:tcPr>
            <w:tcW w:w="985" w:type="dxa"/>
          </w:tcPr>
          <w:p w:rsidR="004E4848" w:rsidRPr="00513237" w:rsidRDefault="004E4848" w:rsidP="0007777E">
            <w:pPr>
              <w:pStyle w:val="Default"/>
              <w:jc w:val="both"/>
            </w:pPr>
            <w:r w:rsidRPr="00513237">
              <w:t>2012</w:t>
            </w:r>
          </w:p>
        </w:tc>
        <w:tc>
          <w:tcPr>
            <w:tcW w:w="5126" w:type="dxa"/>
          </w:tcPr>
          <w:p w:rsidR="004E4848" w:rsidRPr="00513237" w:rsidRDefault="00C809EC" w:rsidP="00C809EC">
            <w:pPr>
              <w:pStyle w:val="Default"/>
              <w:jc w:val="both"/>
            </w:pPr>
            <w:r w:rsidRPr="00513237">
              <w:t>247</w:t>
            </w:r>
            <w:r w:rsidR="004E4848" w:rsidRPr="00513237">
              <w:t xml:space="preserve"> bin </w:t>
            </w:r>
            <w:r w:rsidRPr="00513237">
              <w:t>927</w:t>
            </w:r>
            <w:r w:rsidR="004E4848" w:rsidRPr="00513237">
              <w:t xml:space="preserve"> kişi</w:t>
            </w:r>
          </w:p>
        </w:tc>
      </w:tr>
    </w:tbl>
    <w:p w:rsidR="004E4848" w:rsidRDefault="004E4848" w:rsidP="004E4848">
      <w:pPr>
        <w:pStyle w:val="Default"/>
        <w:jc w:val="both"/>
        <w:rPr>
          <w:sz w:val="22"/>
          <w:szCs w:val="22"/>
        </w:rPr>
      </w:pPr>
      <w:r>
        <w:rPr>
          <w:sz w:val="22"/>
          <w:szCs w:val="22"/>
        </w:rPr>
        <w:t xml:space="preserve">       * Kaynak: TÜİK</w:t>
      </w:r>
    </w:p>
    <w:p w:rsidR="004E4848" w:rsidRDefault="004E4848" w:rsidP="004E4848">
      <w:pPr>
        <w:pStyle w:val="Default"/>
        <w:jc w:val="both"/>
        <w:rPr>
          <w:sz w:val="22"/>
          <w:szCs w:val="22"/>
        </w:rPr>
      </w:pPr>
    </w:p>
    <w:p w:rsidR="008C12C7" w:rsidRPr="001F7C0B" w:rsidRDefault="008C12C7" w:rsidP="008C12C7">
      <w:pPr>
        <w:pStyle w:val="Default"/>
        <w:jc w:val="both"/>
        <w:rPr>
          <w:b/>
        </w:rPr>
      </w:pPr>
      <w:r w:rsidRPr="001F7C0B">
        <w:rPr>
          <w:b/>
        </w:rPr>
        <w:t>THY UÇUŞ SAYISINI ARTTIRIYOR</w:t>
      </w:r>
    </w:p>
    <w:p w:rsidR="008C12C7" w:rsidRPr="008C12C7" w:rsidRDefault="008C12C7" w:rsidP="008C12C7">
      <w:pPr>
        <w:pStyle w:val="Default"/>
        <w:jc w:val="both"/>
      </w:pPr>
    </w:p>
    <w:p w:rsidR="008C12C7" w:rsidRDefault="008C12C7" w:rsidP="008C12C7">
      <w:pPr>
        <w:pStyle w:val="Default"/>
        <w:jc w:val="both"/>
      </w:pPr>
      <w:r w:rsidRPr="008C12C7">
        <w:t xml:space="preserve">Türk Hava Yolları’nın İtalya’nın 7 farklı havalimanından Türkiye’ye tarifeli seferler düzenliyor. Milano, Roma, Venedik, Bologna, Cenova, Napoli ve Torino’dan İstanbul’a uçan THY’nin önümüzdeki Mayıs ayında </w:t>
      </w:r>
      <w:proofErr w:type="spellStart"/>
      <w:r w:rsidRPr="008C12C7">
        <w:t>Katanya</w:t>
      </w:r>
      <w:proofErr w:type="spellEnd"/>
      <w:r w:rsidRPr="008C12C7">
        <w:t xml:space="preserve"> (</w:t>
      </w:r>
      <w:proofErr w:type="spellStart"/>
      <w:r w:rsidRPr="008C12C7">
        <w:t>Catania</w:t>
      </w:r>
      <w:proofErr w:type="spellEnd"/>
      <w:r w:rsidRPr="008C12C7">
        <w:t xml:space="preserve">) seferlerine </w:t>
      </w:r>
      <w:r>
        <w:t>başlayacak. Şu anda haftalık 116 frekans ile İtalya ile Türkiye’yi birbirine bağlayan Türk Hava Yolları, Mayıs ayında başlayacak olan seferlerle bu sayısı 119’a çıkartacak.</w:t>
      </w:r>
    </w:p>
    <w:p w:rsidR="008C12C7" w:rsidRDefault="008C12C7" w:rsidP="008C12C7">
      <w:pPr>
        <w:pStyle w:val="Default"/>
        <w:jc w:val="both"/>
      </w:pPr>
    </w:p>
    <w:p w:rsidR="008C12C7" w:rsidRDefault="008C12C7" w:rsidP="008C12C7">
      <w:pPr>
        <w:pStyle w:val="Default"/>
        <w:jc w:val="both"/>
      </w:pPr>
      <w:r>
        <w:t xml:space="preserve">İtalya’ya sefer düzenleyen bir diğer Türk havayolu şirketi de </w:t>
      </w:r>
      <w:proofErr w:type="spellStart"/>
      <w:r>
        <w:t>Pegasus</w:t>
      </w:r>
      <w:proofErr w:type="spellEnd"/>
      <w:r>
        <w:t xml:space="preserve"> Havayolları. </w:t>
      </w:r>
      <w:proofErr w:type="spellStart"/>
      <w:r>
        <w:t>Pegasus</w:t>
      </w:r>
      <w:proofErr w:type="spellEnd"/>
      <w:r>
        <w:t xml:space="preserve"> Havayolları İstanbul Sabiha Gökçen Havalimanı’ndan Milano Bergamo, Milano </w:t>
      </w:r>
      <w:proofErr w:type="spellStart"/>
      <w:r>
        <w:t>Malpensa</w:t>
      </w:r>
      <w:proofErr w:type="spellEnd"/>
      <w:r>
        <w:t>, Roma ve Bologna’ya tarifeli seferler düzenliyor.</w:t>
      </w:r>
    </w:p>
    <w:p w:rsidR="008C12C7" w:rsidRDefault="008C12C7" w:rsidP="008C12C7">
      <w:pPr>
        <w:pStyle w:val="Default"/>
        <w:jc w:val="both"/>
      </w:pPr>
    </w:p>
    <w:p w:rsidR="004E4848" w:rsidRPr="009A6058" w:rsidRDefault="007B63D7" w:rsidP="004E4848">
      <w:pPr>
        <w:jc w:val="both"/>
        <w:rPr>
          <w:b/>
          <w:sz w:val="24"/>
          <w:szCs w:val="24"/>
        </w:rPr>
      </w:pPr>
      <w:r w:rsidRPr="009A6058">
        <w:rPr>
          <w:b/>
          <w:sz w:val="24"/>
          <w:szCs w:val="24"/>
        </w:rPr>
        <w:t xml:space="preserve">BIT MİLANO </w:t>
      </w:r>
      <w:r w:rsidR="004E4848" w:rsidRPr="009A6058">
        <w:rPr>
          <w:b/>
          <w:sz w:val="24"/>
          <w:szCs w:val="24"/>
        </w:rPr>
        <w:t>TURİZM FUARI</w:t>
      </w:r>
    </w:p>
    <w:p w:rsidR="00393FF3" w:rsidRDefault="00513237" w:rsidP="004E4848">
      <w:pPr>
        <w:jc w:val="both"/>
        <w:rPr>
          <w:sz w:val="24"/>
          <w:szCs w:val="24"/>
        </w:rPr>
      </w:pPr>
      <w:r w:rsidRPr="009A6058">
        <w:rPr>
          <w:sz w:val="24"/>
          <w:szCs w:val="24"/>
        </w:rPr>
        <w:t>İtalya’da düzenlenen en önemli turizm fuarları arasında</w:t>
      </w:r>
      <w:r w:rsidR="00393FF3">
        <w:rPr>
          <w:sz w:val="24"/>
          <w:szCs w:val="24"/>
        </w:rPr>
        <w:t>ki</w:t>
      </w:r>
      <w:r w:rsidRPr="009A6058">
        <w:rPr>
          <w:sz w:val="24"/>
          <w:szCs w:val="24"/>
        </w:rPr>
        <w:t xml:space="preserve"> BIT Milano Uluslararası Turizm Fuarı bu yıl 34’üncü kez gerçekleştirildi. 13-15 Şubat tarihleri arasında </w:t>
      </w:r>
      <w:proofErr w:type="spellStart"/>
      <w:r w:rsidRPr="009A6058">
        <w:rPr>
          <w:sz w:val="24"/>
          <w:szCs w:val="24"/>
        </w:rPr>
        <w:t>Fiera</w:t>
      </w:r>
      <w:proofErr w:type="spellEnd"/>
      <w:r w:rsidRPr="009A6058">
        <w:rPr>
          <w:sz w:val="24"/>
          <w:szCs w:val="24"/>
        </w:rPr>
        <w:t xml:space="preserve"> Milano Fuar Merkezi’nde düzenlenen fuar</w:t>
      </w:r>
      <w:r w:rsidR="009A6058">
        <w:rPr>
          <w:sz w:val="24"/>
          <w:szCs w:val="24"/>
        </w:rPr>
        <w:t>,</w:t>
      </w:r>
      <w:r w:rsidRPr="009A6058">
        <w:rPr>
          <w:sz w:val="24"/>
          <w:szCs w:val="24"/>
        </w:rPr>
        <w:t xml:space="preserve"> toplamda 4 holde ziyaretçilerle buluştu. </w:t>
      </w:r>
      <w:r w:rsidR="009A6058" w:rsidRPr="009A6058">
        <w:rPr>
          <w:sz w:val="24"/>
          <w:szCs w:val="24"/>
        </w:rPr>
        <w:t xml:space="preserve">1. ve 3’üncü holde İtalya’daki </w:t>
      </w:r>
      <w:proofErr w:type="gramStart"/>
      <w:r w:rsidR="009A6058" w:rsidRPr="009A6058">
        <w:rPr>
          <w:sz w:val="24"/>
          <w:szCs w:val="24"/>
        </w:rPr>
        <w:t>destinasyonlar</w:t>
      </w:r>
      <w:proofErr w:type="gramEnd"/>
      <w:r w:rsidR="009A6058" w:rsidRPr="009A6058">
        <w:rPr>
          <w:sz w:val="24"/>
          <w:szCs w:val="24"/>
        </w:rPr>
        <w:t xml:space="preserve"> temsil edilirken 2 ve 4’üncü holde uluslararası</w:t>
      </w:r>
      <w:r w:rsidR="009A6058">
        <w:rPr>
          <w:sz w:val="24"/>
          <w:szCs w:val="24"/>
        </w:rPr>
        <w:t xml:space="preserve"> stantlar yer aldı. </w:t>
      </w:r>
      <w:r w:rsidR="009A6058">
        <w:rPr>
          <w:sz w:val="24"/>
          <w:szCs w:val="24"/>
        </w:rPr>
        <w:lastRenderedPageBreak/>
        <w:t>Türkiye</w:t>
      </w:r>
      <w:r w:rsidR="00393FF3">
        <w:rPr>
          <w:sz w:val="24"/>
          <w:szCs w:val="24"/>
        </w:rPr>
        <w:t>’nin 4’üncü holde temsil edildiği 296 metrekarelik stant fuarın en büyük stantlardan biri olmasıyla dikkat çekti.</w:t>
      </w:r>
    </w:p>
    <w:p w:rsidR="00393FF3" w:rsidRDefault="00393FF3" w:rsidP="00393FF3">
      <w:pPr>
        <w:jc w:val="both"/>
        <w:rPr>
          <w:sz w:val="24"/>
          <w:szCs w:val="24"/>
        </w:rPr>
      </w:pPr>
      <w:r>
        <w:rPr>
          <w:sz w:val="24"/>
          <w:szCs w:val="24"/>
        </w:rPr>
        <w:t>Geçtiğimiz yıllarda dört güne yayılan BIT Milano Turizm Fuarı’nın süresi bu yıl düşürülerek üç güne çekildi. Geçtiğimiz yıllara göre katılımcı ülke ve şirket sayısında büyük düşüş yaşayan BIT Milano Turizm fuarını üç günlük süre sonunda 62 bin 170 kişinin ziyaret ettiği açıklandı.</w:t>
      </w:r>
    </w:p>
    <w:p w:rsidR="004E4848" w:rsidRDefault="00393FF3" w:rsidP="004E4848">
      <w:pPr>
        <w:jc w:val="both"/>
      </w:pPr>
      <w:r>
        <w:rPr>
          <w:noProof/>
          <w:lang w:eastAsia="tr-TR"/>
        </w:rPr>
        <w:drawing>
          <wp:inline distT="0" distB="0" distL="0" distR="0" wp14:anchorId="2B2AAF66" wp14:editId="1F97B526">
            <wp:extent cx="2844730" cy="16002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0078.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60529" cy="1609087"/>
                    </a:xfrm>
                    <a:prstGeom prst="rect">
                      <a:avLst/>
                    </a:prstGeom>
                  </pic:spPr>
                </pic:pic>
              </a:graphicData>
            </a:graphic>
          </wp:inline>
        </w:drawing>
      </w:r>
      <w:r w:rsidR="00FC3988">
        <w:rPr>
          <w:noProof/>
          <w:lang w:eastAsia="tr-TR"/>
        </w:rPr>
        <w:drawing>
          <wp:inline distT="0" distB="0" distL="0" distR="0">
            <wp:extent cx="2838450" cy="1596668"/>
            <wp:effectExtent l="0" t="0" r="0" b="38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005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36428" cy="1595531"/>
                    </a:xfrm>
                    <a:prstGeom prst="rect">
                      <a:avLst/>
                    </a:prstGeom>
                  </pic:spPr>
                </pic:pic>
              </a:graphicData>
            </a:graphic>
          </wp:inline>
        </w:drawing>
      </w:r>
    </w:p>
    <w:p w:rsidR="0010419E" w:rsidRDefault="00FC3988" w:rsidP="004E4848">
      <w:pPr>
        <w:jc w:val="both"/>
        <w:rPr>
          <w:sz w:val="24"/>
          <w:szCs w:val="24"/>
        </w:rPr>
      </w:pPr>
      <w:r w:rsidRPr="00FC3988">
        <w:rPr>
          <w:sz w:val="24"/>
          <w:szCs w:val="24"/>
        </w:rPr>
        <w:t xml:space="preserve">Türkiye standı büyüklüğü ile olduğu kadar </w:t>
      </w:r>
      <w:r w:rsidR="0010419E" w:rsidRPr="00FC3988">
        <w:rPr>
          <w:sz w:val="24"/>
          <w:szCs w:val="24"/>
        </w:rPr>
        <w:t>Milano Kültür ve Tanıtma Müşavirliği'nin organizasyonu</w:t>
      </w:r>
      <w:r w:rsidR="0010419E">
        <w:rPr>
          <w:sz w:val="24"/>
          <w:szCs w:val="24"/>
        </w:rPr>
        <w:t xml:space="preserve">nda </w:t>
      </w:r>
      <w:r w:rsidRPr="00FC3988">
        <w:rPr>
          <w:sz w:val="24"/>
          <w:szCs w:val="24"/>
        </w:rPr>
        <w:t xml:space="preserve">sunulan ikramlarla da ilgi çekti. </w:t>
      </w:r>
    </w:p>
    <w:p w:rsidR="004E4848" w:rsidRPr="00306A2A" w:rsidRDefault="004E4848" w:rsidP="004E4848">
      <w:pPr>
        <w:jc w:val="both"/>
        <w:rPr>
          <w:b/>
          <w:sz w:val="24"/>
          <w:szCs w:val="24"/>
        </w:rPr>
      </w:pPr>
      <w:bookmarkStart w:id="0" w:name="_GoBack"/>
      <w:bookmarkEnd w:id="0"/>
      <w:r w:rsidRPr="00306A2A">
        <w:rPr>
          <w:b/>
          <w:sz w:val="24"/>
          <w:szCs w:val="24"/>
        </w:rPr>
        <w:t>2014 İ</w:t>
      </w:r>
      <w:r w:rsidR="00306A2A" w:rsidRPr="00306A2A">
        <w:rPr>
          <w:b/>
          <w:sz w:val="24"/>
          <w:szCs w:val="24"/>
        </w:rPr>
        <w:t xml:space="preserve">TALYA </w:t>
      </w:r>
      <w:r w:rsidRPr="00306A2A">
        <w:rPr>
          <w:b/>
          <w:sz w:val="24"/>
          <w:szCs w:val="24"/>
        </w:rPr>
        <w:t>PAZAR BEKLENTİLERİ</w:t>
      </w:r>
    </w:p>
    <w:p w:rsidR="00306A2A" w:rsidRDefault="004E4848" w:rsidP="004E4848">
      <w:pPr>
        <w:rPr>
          <w:sz w:val="24"/>
          <w:szCs w:val="24"/>
        </w:rPr>
      </w:pPr>
      <w:r w:rsidRPr="00306A2A">
        <w:rPr>
          <w:sz w:val="24"/>
          <w:szCs w:val="24"/>
        </w:rPr>
        <w:t xml:space="preserve">- </w:t>
      </w:r>
      <w:r w:rsidR="00306A2A">
        <w:rPr>
          <w:sz w:val="24"/>
          <w:szCs w:val="24"/>
        </w:rPr>
        <w:t>İtalya’nın ekonomik krizin etkilerini 2014 yılı itibariyle atlatmaya başlaması ve ekonomisinin yeniden büyümeye geçmesi bekleniyor. Bu durumun turizme yavaş ancak olumlu yönde tesir etmesi bekleniyor.</w:t>
      </w:r>
    </w:p>
    <w:p w:rsidR="0056278C" w:rsidRDefault="00306A2A" w:rsidP="004E4848">
      <w:pPr>
        <w:rPr>
          <w:sz w:val="24"/>
          <w:szCs w:val="24"/>
        </w:rPr>
      </w:pPr>
      <w:r>
        <w:rPr>
          <w:sz w:val="24"/>
          <w:szCs w:val="24"/>
        </w:rPr>
        <w:t xml:space="preserve">- İtalyan turistler tatil seçiminde bulunurken, güvenlik </w:t>
      </w:r>
      <w:r w:rsidR="008A4B80">
        <w:rPr>
          <w:sz w:val="24"/>
          <w:szCs w:val="24"/>
        </w:rPr>
        <w:t>konusundaki duyarlılıkları ile ön plana çıkıyor. 2013 yılının ilk 5 aylık döneminde Türkiye’ye gelen İtalyan turist sayısı yüzde 25,62 artıda iken Gezi Parkı olaylarının ardından yaşanan düşüşle birlikte 12 aylık dönemde İtalyan turist sayısındaki artış yüzde 2,48’e geriledi.</w:t>
      </w:r>
      <w:r w:rsidR="00060081">
        <w:rPr>
          <w:sz w:val="24"/>
          <w:szCs w:val="24"/>
        </w:rPr>
        <w:t xml:space="preserve"> </w:t>
      </w:r>
      <w:r w:rsidR="0056278C">
        <w:rPr>
          <w:sz w:val="24"/>
          <w:szCs w:val="24"/>
        </w:rPr>
        <w:t xml:space="preserve">2014 yılında </w:t>
      </w:r>
      <w:r w:rsidR="008A4B80">
        <w:rPr>
          <w:sz w:val="24"/>
          <w:szCs w:val="24"/>
        </w:rPr>
        <w:t xml:space="preserve">herhangi bir olay yaşanmaması durumunda </w:t>
      </w:r>
      <w:r w:rsidR="0056278C">
        <w:rPr>
          <w:sz w:val="24"/>
          <w:szCs w:val="24"/>
        </w:rPr>
        <w:t xml:space="preserve">İtalya’dan </w:t>
      </w:r>
      <w:r w:rsidR="008A4B80">
        <w:rPr>
          <w:sz w:val="24"/>
          <w:szCs w:val="24"/>
        </w:rPr>
        <w:t>Türki</w:t>
      </w:r>
      <w:r>
        <w:rPr>
          <w:sz w:val="24"/>
          <w:szCs w:val="24"/>
        </w:rPr>
        <w:t xml:space="preserve">ye’ye yönelik talep artışının sürmesi bekleniyor. </w:t>
      </w:r>
    </w:p>
    <w:p w:rsidR="00921BAC" w:rsidRDefault="00921BAC" w:rsidP="00921BAC">
      <w:pPr>
        <w:rPr>
          <w:sz w:val="24"/>
          <w:szCs w:val="24"/>
        </w:rPr>
      </w:pPr>
      <w:r w:rsidRPr="00306A2A">
        <w:rPr>
          <w:sz w:val="24"/>
          <w:szCs w:val="24"/>
        </w:rPr>
        <w:t xml:space="preserve">- </w:t>
      </w:r>
      <w:r>
        <w:rPr>
          <w:sz w:val="24"/>
          <w:szCs w:val="24"/>
        </w:rPr>
        <w:t xml:space="preserve">İtalyan tatilciler “son dakika” rezervasyon alışkanlıkları ile dikkat çekiyor. </w:t>
      </w:r>
      <w:r w:rsidRPr="00306A2A">
        <w:rPr>
          <w:sz w:val="24"/>
          <w:szCs w:val="24"/>
        </w:rPr>
        <w:t xml:space="preserve">2014’te </w:t>
      </w:r>
      <w:r>
        <w:rPr>
          <w:sz w:val="24"/>
          <w:szCs w:val="24"/>
        </w:rPr>
        <w:t>İtalya’dan Türkiye’ye yönelik ilginin nasıl bir seyir izleyeceği</w:t>
      </w:r>
      <w:r w:rsidR="00060081">
        <w:rPr>
          <w:sz w:val="24"/>
          <w:szCs w:val="24"/>
        </w:rPr>
        <w:t xml:space="preserve"> </w:t>
      </w:r>
      <w:r>
        <w:rPr>
          <w:sz w:val="24"/>
          <w:szCs w:val="24"/>
        </w:rPr>
        <w:t xml:space="preserve">Nisan ayı ile başlayacak süreçte belirginleşecek. </w:t>
      </w:r>
    </w:p>
    <w:p w:rsidR="00306A2A" w:rsidRDefault="0056278C" w:rsidP="004E4848">
      <w:pPr>
        <w:rPr>
          <w:sz w:val="24"/>
          <w:szCs w:val="24"/>
        </w:rPr>
      </w:pPr>
      <w:r>
        <w:rPr>
          <w:sz w:val="24"/>
          <w:szCs w:val="24"/>
        </w:rPr>
        <w:t xml:space="preserve">- </w:t>
      </w:r>
      <w:r w:rsidR="00306A2A">
        <w:rPr>
          <w:sz w:val="24"/>
          <w:szCs w:val="24"/>
        </w:rPr>
        <w:t xml:space="preserve">Pazarda temkinli ancak iyimser bir beklenti </w:t>
      </w:r>
      <w:proofErr w:type="gramStart"/>
      <w:r w:rsidR="00306A2A">
        <w:rPr>
          <w:sz w:val="24"/>
          <w:szCs w:val="24"/>
        </w:rPr>
        <w:t>hakim</w:t>
      </w:r>
      <w:proofErr w:type="gramEnd"/>
      <w:r w:rsidR="00306A2A">
        <w:rPr>
          <w:sz w:val="24"/>
          <w:szCs w:val="24"/>
        </w:rPr>
        <w:t xml:space="preserve"> durumd</w:t>
      </w:r>
      <w:r>
        <w:rPr>
          <w:sz w:val="24"/>
          <w:szCs w:val="24"/>
        </w:rPr>
        <w:t>a.</w:t>
      </w:r>
    </w:p>
    <w:p w:rsidR="00B372C6" w:rsidRDefault="004E4848" w:rsidP="004E4848">
      <w:pPr>
        <w:rPr>
          <w:sz w:val="24"/>
          <w:szCs w:val="24"/>
        </w:rPr>
      </w:pPr>
      <w:r w:rsidRPr="00306A2A">
        <w:rPr>
          <w:sz w:val="24"/>
          <w:szCs w:val="24"/>
        </w:rPr>
        <w:t>- İ</w:t>
      </w:r>
      <w:r w:rsidR="0056278C">
        <w:rPr>
          <w:sz w:val="24"/>
          <w:szCs w:val="24"/>
        </w:rPr>
        <w:t xml:space="preserve">talyan turistlerin 2014 yılında da tarih ve kültür değerleriyle öne çıkan Türkiye’deki </w:t>
      </w:r>
      <w:proofErr w:type="gramStart"/>
      <w:r w:rsidR="0056278C">
        <w:rPr>
          <w:sz w:val="24"/>
          <w:szCs w:val="24"/>
        </w:rPr>
        <w:t>destinasyonl</w:t>
      </w:r>
      <w:r w:rsidR="00B372C6">
        <w:rPr>
          <w:sz w:val="24"/>
          <w:szCs w:val="24"/>
        </w:rPr>
        <w:t>a</w:t>
      </w:r>
      <w:r w:rsidR="0056278C">
        <w:rPr>
          <w:sz w:val="24"/>
          <w:szCs w:val="24"/>
        </w:rPr>
        <w:t>r</w:t>
      </w:r>
      <w:r w:rsidR="00B372C6">
        <w:rPr>
          <w:sz w:val="24"/>
          <w:szCs w:val="24"/>
        </w:rPr>
        <w:t>ı</w:t>
      </w:r>
      <w:proofErr w:type="gramEnd"/>
      <w:r w:rsidR="00B372C6">
        <w:rPr>
          <w:sz w:val="24"/>
          <w:szCs w:val="24"/>
        </w:rPr>
        <w:t xml:space="preserve"> tercih etmeye devam etmesi bekleniyor. İstanbul, Kapadokya, Konya, Pamukkale, İzmir ile birlikte Muğla ve Antalya da 2014’te öne çıkacak </w:t>
      </w:r>
      <w:proofErr w:type="gramStart"/>
      <w:r w:rsidR="00B372C6">
        <w:rPr>
          <w:sz w:val="24"/>
          <w:szCs w:val="24"/>
        </w:rPr>
        <w:t>destinasyonlar</w:t>
      </w:r>
      <w:proofErr w:type="gramEnd"/>
      <w:r w:rsidR="00B372C6">
        <w:rPr>
          <w:sz w:val="24"/>
          <w:szCs w:val="24"/>
        </w:rPr>
        <w:t>.</w:t>
      </w:r>
    </w:p>
    <w:p w:rsidR="00921BAC" w:rsidRDefault="004E4848" w:rsidP="004E4848">
      <w:pPr>
        <w:rPr>
          <w:sz w:val="24"/>
          <w:szCs w:val="24"/>
        </w:rPr>
      </w:pPr>
      <w:r w:rsidRPr="00306A2A">
        <w:rPr>
          <w:sz w:val="24"/>
          <w:szCs w:val="24"/>
        </w:rPr>
        <w:t>- THY’nin İ</w:t>
      </w:r>
      <w:r w:rsidR="00921BAC">
        <w:rPr>
          <w:sz w:val="24"/>
          <w:szCs w:val="24"/>
        </w:rPr>
        <w:t>talya’da uçuş gerçekleştirdiği noktalara önümüzdeki aylarda yenilerinin eklenecek olmasının karşılıklı olarak turizm akışını olumlu yönde etkilemesi bekleniyor.</w:t>
      </w:r>
    </w:p>
    <w:p w:rsidR="00921BAC" w:rsidRDefault="00921BAC" w:rsidP="004E4848">
      <w:pPr>
        <w:rPr>
          <w:sz w:val="24"/>
          <w:szCs w:val="24"/>
        </w:rPr>
      </w:pPr>
      <w:r>
        <w:rPr>
          <w:sz w:val="24"/>
          <w:szCs w:val="24"/>
        </w:rPr>
        <w:t xml:space="preserve">- </w:t>
      </w:r>
      <w:proofErr w:type="spellStart"/>
      <w:r>
        <w:rPr>
          <w:sz w:val="24"/>
          <w:szCs w:val="24"/>
        </w:rPr>
        <w:t>Pegasus</w:t>
      </w:r>
      <w:proofErr w:type="spellEnd"/>
      <w:r>
        <w:rPr>
          <w:sz w:val="24"/>
          <w:szCs w:val="24"/>
        </w:rPr>
        <w:t xml:space="preserve"> Havayolları’nın İtalya’da dört farklı noktaya uçmasının da bu turist akışına olumlu </w:t>
      </w:r>
      <w:r w:rsidR="0054647B">
        <w:rPr>
          <w:sz w:val="24"/>
          <w:szCs w:val="24"/>
        </w:rPr>
        <w:t xml:space="preserve">yönde </w:t>
      </w:r>
      <w:r w:rsidR="00060081">
        <w:rPr>
          <w:sz w:val="24"/>
          <w:szCs w:val="24"/>
        </w:rPr>
        <w:t>katkı yapması bekleniyor.</w:t>
      </w:r>
    </w:p>
    <w:p w:rsidR="0054647B" w:rsidRDefault="004E4848" w:rsidP="004E4848">
      <w:pPr>
        <w:rPr>
          <w:sz w:val="24"/>
          <w:szCs w:val="24"/>
        </w:rPr>
      </w:pPr>
      <w:r w:rsidRPr="00306A2A">
        <w:rPr>
          <w:sz w:val="24"/>
          <w:szCs w:val="24"/>
        </w:rPr>
        <w:t xml:space="preserve">- </w:t>
      </w:r>
      <w:r w:rsidR="0054647B" w:rsidRPr="00306A2A">
        <w:rPr>
          <w:sz w:val="24"/>
          <w:szCs w:val="24"/>
        </w:rPr>
        <w:t>Türk Lirası</w:t>
      </w:r>
      <w:r w:rsidR="0054647B">
        <w:rPr>
          <w:sz w:val="24"/>
          <w:szCs w:val="24"/>
        </w:rPr>
        <w:t xml:space="preserve">’nın </w:t>
      </w:r>
      <w:r w:rsidRPr="00306A2A">
        <w:rPr>
          <w:sz w:val="24"/>
          <w:szCs w:val="24"/>
        </w:rPr>
        <w:t>Euro karşısındaki değer kaybı</w:t>
      </w:r>
      <w:r w:rsidR="0054647B">
        <w:rPr>
          <w:sz w:val="24"/>
          <w:szCs w:val="24"/>
        </w:rPr>
        <w:t>,</w:t>
      </w:r>
      <w:r w:rsidRPr="00306A2A">
        <w:rPr>
          <w:sz w:val="24"/>
          <w:szCs w:val="24"/>
        </w:rPr>
        <w:t xml:space="preserve"> </w:t>
      </w:r>
      <w:r w:rsidR="0054647B">
        <w:rPr>
          <w:sz w:val="24"/>
          <w:szCs w:val="24"/>
        </w:rPr>
        <w:t>2014 yılında Türkiye’den İtalya’ya giden turist sayısını olumsuz e</w:t>
      </w:r>
      <w:r w:rsidR="00060081">
        <w:rPr>
          <w:sz w:val="24"/>
          <w:szCs w:val="24"/>
        </w:rPr>
        <w:t>tkileyebilir.</w:t>
      </w:r>
    </w:p>
    <w:p w:rsidR="008235D1" w:rsidRPr="004E4848" w:rsidRDefault="008235D1" w:rsidP="004E4848"/>
    <w:sectPr w:rsidR="008235D1" w:rsidRPr="004E4848" w:rsidSect="00490A1C">
      <w:pgSz w:w="11906" w:h="16838"/>
      <w:pgMar w:top="851"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F66"/>
    <w:multiLevelType w:val="hybridMultilevel"/>
    <w:tmpl w:val="4C5020EC"/>
    <w:lvl w:ilvl="0" w:tplc="BE229DD4">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4E4629"/>
    <w:multiLevelType w:val="multilevel"/>
    <w:tmpl w:val="CE98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A45F0"/>
    <w:multiLevelType w:val="hybridMultilevel"/>
    <w:tmpl w:val="3672130C"/>
    <w:lvl w:ilvl="0" w:tplc="0478ADA6">
      <w:start w:val="201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DC70A9"/>
    <w:multiLevelType w:val="multilevel"/>
    <w:tmpl w:val="BFAE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327E1"/>
    <w:multiLevelType w:val="multilevel"/>
    <w:tmpl w:val="33DE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042FC"/>
    <w:multiLevelType w:val="hybridMultilevel"/>
    <w:tmpl w:val="CB146F8C"/>
    <w:lvl w:ilvl="0" w:tplc="9CA27A72">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0F3543"/>
    <w:multiLevelType w:val="multilevel"/>
    <w:tmpl w:val="262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C6"/>
    <w:rsid w:val="000033BA"/>
    <w:rsid w:val="00024963"/>
    <w:rsid w:val="000266CD"/>
    <w:rsid w:val="000462FD"/>
    <w:rsid w:val="00056B74"/>
    <w:rsid w:val="00060081"/>
    <w:rsid w:val="0006153E"/>
    <w:rsid w:val="000934C6"/>
    <w:rsid w:val="000B187B"/>
    <w:rsid w:val="000B1F85"/>
    <w:rsid w:val="000C7A6E"/>
    <w:rsid w:val="000E0D2A"/>
    <w:rsid w:val="000F2484"/>
    <w:rsid w:val="0010419E"/>
    <w:rsid w:val="001346CF"/>
    <w:rsid w:val="00140BD1"/>
    <w:rsid w:val="001A6E59"/>
    <w:rsid w:val="001B2A1F"/>
    <w:rsid w:val="001B2FB0"/>
    <w:rsid w:val="001C78A4"/>
    <w:rsid w:val="001F7C0B"/>
    <w:rsid w:val="00220FF5"/>
    <w:rsid w:val="002369E2"/>
    <w:rsid w:val="00244154"/>
    <w:rsid w:val="00262AD3"/>
    <w:rsid w:val="00263145"/>
    <w:rsid w:val="002905B4"/>
    <w:rsid w:val="00295024"/>
    <w:rsid w:val="002963CA"/>
    <w:rsid w:val="00296487"/>
    <w:rsid w:val="002A31B5"/>
    <w:rsid w:val="002B3AEA"/>
    <w:rsid w:val="002F3A99"/>
    <w:rsid w:val="00306A2A"/>
    <w:rsid w:val="00314D51"/>
    <w:rsid w:val="00320A4E"/>
    <w:rsid w:val="00324947"/>
    <w:rsid w:val="00336EE9"/>
    <w:rsid w:val="00337FFB"/>
    <w:rsid w:val="00382D54"/>
    <w:rsid w:val="0038618A"/>
    <w:rsid w:val="00386B58"/>
    <w:rsid w:val="00393FF3"/>
    <w:rsid w:val="003B327E"/>
    <w:rsid w:val="003D0F91"/>
    <w:rsid w:val="003D3277"/>
    <w:rsid w:val="003F38C5"/>
    <w:rsid w:val="0040086C"/>
    <w:rsid w:val="00417537"/>
    <w:rsid w:val="004321B9"/>
    <w:rsid w:val="00437E48"/>
    <w:rsid w:val="00460481"/>
    <w:rsid w:val="004905BF"/>
    <w:rsid w:val="00490A1C"/>
    <w:rsid w:val="004938EF"/>
    <w:rsid w:val="004A0441"/>
    <w:rsid w:val="004A69CF"/>
    <w:rsid w:val="004B7678"/>
    <w:rsid w:val="004E4848"/>
    <w:rsid w:val="004F65D3"/>
    <w:rsid w:val="00513237"/>
    <w:rsid w:val="0054647B"/>
    <w:rsid w:val="00552401"/>
    <w:rsid w:val="0056278C"/>
    <w:rsid w:val="00574DE4"/>
    <w:rsid w:val="00575261"/>
    <w:rsid w:val="0059318A"/>
    <w:rsid w:val="005C5FC9"/>
    <w:rsid w:val="005E3D26"/>
    <w:rsid w:val="005F299F"/>
    <w:rsid w:val="00611872"/>
    <w:rsid w:val="006166E3"/>
    <w:rsid w:val="00617508"/>
    <w:rsid w:val="00631916"/>
    <w:rsid w:val="00633741"/>
    <w:rsid w:val="00652464"/>
    <w:rsid w:val="00655C53"/>
    <w:rsid w:val="00675A5D"/>
    <w:rsid w:val="00675E52"/>
    <w:rsid w:val="006774A0"/>
    <w:rsid w:val="006A0B3F"/>
    <w:rsid w:val="00724024"/>
    <w:rsid w:val="00746F5F"/>
    <w:rsid w:val="007542FC"/>
    <w:rsid w:val="00766775"/>
    <w:rsid w:val="007722EB"/>
    <w:rsid w:val="00786C0E"/>
    <w:rsid w:val="00793BE5"/>
    <w:rsid w:val="00797341"/>
    <w:rsid w:val="007A6B24"/>
    <w:rsid w:val="007B5A01"/>
    <w:rsid w:val="007B63D7"/>
    <w:rsid w:val="007E35A7"/>
    <w:rsid w:val="007F16D2"/>
    <w:rsid w:val="008228DD"/>
    <w:rsid w:val="008235D1"/>
    <w:rsid w:val="008251A8"/>
    <w:rsid w:val="00874DC4"/>
    <w:rsid w:val="00890252"/>
    <w:rsid w:val="00893A8E"/>
    <w:rsid w:val="0089734F"/>
    <w:rsid w:val="008A4B80"/>
    <w:rsid w:val="008C12C7"/>
    <w:rsid w:val="008C1523"/>
    <w:rsid w:val="008D26FE"/>
    <w:rsid w:val="008F4598"/>
    <w:rsid w:val="0091662A"/>
    <w:rsid w:val="009209CD"/>
    <w:rsid w:val="00921A63"/>
    <w:rsid w:val="00921BAC"/>
    <w:rsid w:val="009321EB"/>
    <w:rsid w:val="00932DFC"/>
    <w:rsid w:val="00942660"/>
    <w:rsid w:val="00954E57"/>
    <w:rsid w:val="00963DA8"/>
    <w:rsid w:val="00965B04"/>
    <w:rsid w:val="009A6058"/>
    <w:rsid w:val="009A6E75"/>
    <w:rsid w:val="009C3F71"/>
    <w:rsid w:val="00A07C53"/>
    <w:rsid w:val="00A245E1"/>
    <w:rsid w:val="00A25227"/>
    <w:rsid w:val="00A4565A"/>
    <w:rsid w:val="00A53E02"/>
    <w:rsid w:val="00A6285B"/>
    <w:rsid w:val="00A66F53"/>
    <w:rsid w:val="00A70314"/>
    <w:rsid w:val="00A7197B"/>
    <w:rsid w:val="00A9009E"/>
    <w:rsid w:val="00A926B7"/>
    <w:rsid w:val="00A952B7"/>
    <w:rsid w:val="00AD6F39"/>
    <w:rsid w:val="00AE55CE"/>
    <w:rsid w:val="00AE5B8D"/>
    <w:rsid w:val="00AF219E"/>
    <w:rsid w:val="00AF3DCC"/>
    <w:rsid w:val="00B12251"/>
    <w:rsid w:val="00B239E2"/>
    <w:rsid w:val="00B26955"/>
    <w:rsid w:val="00B372C6"/>
    <w:rsid w:val="00B43C8A"/>
    <w:rsid w:val="00B64E12"/>
    <w:rsid w:val="00B759BE"/>
    <w:rsid w:val="00BA225F"/>
    <w:rsid w:val="00BA69A0"/>
    <w:rsid w:val="00BC20C9"/>
    <w:rsid w:val="00BF0CBC"/>
    <w:rsid w:val="00BF3E41"/>
    <w:rsid w:val="00C03904"/>
    <w:rsid w:val="00C17601"/>
    <w:rsid w:val="00C52490"/>
    <w:rsid w:val="00C53A42"/>
    <w:rsid w:val="00C80425"/>
    <w:rsid w:val="00C807CE"/>
    <w:rsid w:val="00C809EC"/>
    <w:rsid w:val="00C83E82"/>
    <w:rsid w:val="00CA7857"/>
    <w:rsid w:val="00CD5419"/>
    <w:rsid w:val="00CD77C4"/>
    <w:rsid w:val="00D04153"/>
    <w:rsid w:val="00D20FA1"/>
    <w:rsid w:val="00D246F8"/>
    <w:rsid w:val="00D83DBF"/>
    <w:rsid w:val="00D92157"/>
    <w:rsid w:val="00DB0C93"/>
    <w:rsid w:val="00DF0C86"/>
    <w:rsid w:val="00E266C5"/>
    <w:rsid w:val="00E514D9"/>
    <w:rsid w:val="00EA24BE"/>
    <w:rsid w:val="00ED0CA9"/>
    <w:rsid w:val="00ED2F73"/>
    <w:rsid w:val="00F07441"/>
    <w:rsid w:val="00F20E6D"/>
    <w:rsid w:val="00F26E99"/>
    <w:rsid w:val="00F368A2"/>
    <w:rsid w:val="00F42269"/>
    <w:rsid w:val="00F53C57"/>
    <w:rsid w:val="00FA595D"/>
    <w:rsid w:val="00FB6979"/>
    <w:rsid w:val="00FC3988"/>
    <w:rsid w:val="00FF35EC"/>
    <w:rsid w:val="00FF7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48"/>
  </w:style>
  <w:style w:type="paragraph" w:styleId="Balk3">
    <w:name w:val="heading 3"/>
    <w:basedOn w:val="Normal"/>
    <w:link w:val="Balk3Char"/>
    <w:uiPriority w:val="9"/>
    <w:qFormat/>
    <w:rsid w:val="008C152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C152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6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8A2"/>
    <w:rPr>
      <w:rFonts w:ascii="Tahoma" w:hAnsi="Tahoma" w:cs="Tahoma"/>
      <w:sz w:val="16"/>
      <w:szCs w:val="16"/>
    </w:rPr>
  </w:style>
  <w:style w:type="table" w:styleId="TabloKlavuzu">
    <w:name w:val="Table Grid"/>
    <w:basedOn w:val="NormalTablo"/>
    <w:uiPriority w:val="59"/>
    <w:rsid w:val="000B1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21A63"/>
    <w:pPr>
      <w:ind w:left="720"/>
      <w:contextualSpacing/>
    </w:pPr>
  </w:style>
  <w:style w:type="character" w:styleId="Kpr">
    <w:name w:val="Hyperlink"/>
    <w:basedOn w:val="VarsaylanParagrafYazTipi"/>
    <w:uiPriority w:val="99"/>
    <w:unhideWhenUsed/>
    <w:rsid w:val="004A0441"/>
    <w:rPr>
      <w:strike w:val="0"/>
      <w:dstrike w:val="0"/>
      <w:color w:val="333333"/>
      <w:u w:val="none"/>
      <w:effect w:val="none"/>
    </w:rPr>
  </w:style>
  <w:style w:type="paragraph" w:customStyle="1" w:styleId="basic">
    <w:name w:val="basic"/>
    <w:basedOn w:val="Normal"/>
    <w:rsid w:val="000B1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187B"/>
    <w:rPr>
      <w:i/>
      <w:iCs/>
    </w:rPr>
  </w:style>
  <w:style w:type="character" w:styleId="Gl">
    <w:name w:val="Strong"/>
    <w:basedOn w:val="VarsaylanParagrafYazTipi"/>
    <w:uiPriority w:val="22"/>
    <w:qFormat/>
    <w:rsid w:val="000B187B"/>
    <w:rPr>
      <w:b/>
      <w:bCs/>
    </w:rPr>
  </w:style>
  <w:style w:type="character" w:customStyle="1" w:styleId="apple-converted-space">
    <w:name w:val="apple-converted-space"/>
    <w:basedOn w:val="VarsaylanParagrafYazTipi"/>
    <w:rsid w:val="000B187B"/>
  </w:style>
  <w:style w:type="character" w:customStyle="1" w:styleId="Balk3Char">
    <w:name w:val="Başlık 3 Char"/>
    <w:basedOn w:val="VarsaylanParagrafYazTipi"/>
    <w:link w:val="Balk3"/>
    <w:uiPriority w:val="9"/>
    <w:rsid w:val="008C152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C152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1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1B2FB0"/>
    <w:pPr>
      <w:spacing w:line="240" w:lineRule="auto"/>
    </w:pPr>
    <w:rPr>
      <w:b/>
      <w:bCs/>
      <w:color w:val="4F81BD" w:themeColor="accent1"/>
      <w:sz w:val="18"/>
      <w:szCs w:val="18"/>
    </w:rPr>
  </w:style>
  <w:style w:type="paragraph" w:customStyle="1" w:styleId="Default">
    <w:name w:val="Default"/>
    <w:rsid w:val="003D0F9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48"/>
  </w:style>
  <w:style w:type="paragraph" w:styleId="Balk3">
    <w:name w:val="heading 3"/>
    <w:basedOn w:val="Normal"/>
    <w:link w:val="Balk3Char"/>
    <w:uiPriority w:val="9"/>
    <w:qFormat/>
    <w:rsid w:val="008C152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C152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6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8A2"/>
    <w:rPr>
      <w:rFonts w:ascii="Tahoma" w:hAnsi="Tahoma" w:cs="Tahoma"/>
      <w:sz w:val="16"/>
      <w:szCs w:val="16"/>
    </w:rPr>
  </w:style>
  <w:style w:type="table" w:styleId="TabloKlavuzu">
    <w:name w:val="Table Grid"/>
    <w:basedOn w:val="NormalTablo"/>
    <w:uiPriority w:val="59"/>
    <w:rsid w:val="000B1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21A63"/>
    <w:pPr>
      <w:ind w:left="720"/>
      <w:contextualSpacing/>
    </w:pPr>
  </w:style>
  <w:style w:type="character" w:styleId="Kpr">
    <w:name w:val="Hyperlink"/>
    <w:basedOn w:val="VarsaylanParagrafYazTipi"/>
    <w:uiPriority w:val="99"/>
    <w:unhideWhenUsed/>
    <w:rsid w:val="004A0441"/>
    <w:rPr>
      <w:strike w:val="0"/>
      <w:dstrike w:val="0"/>
      <w:color w:val="333333"/>
      <w:u w:val="none"/>
      <w:effect w:val="none"/>
    </w:rPr>
  </w:style>
  <w:style w:type="paragraph" w:customStyle="1" w:styleId="basic">
    <w:name w:val="basic"/>
    <w:basedOn w:val="Normal"/>
    <w:rsid w:val="000B1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187B"/>
    <w:rPr>
      <w:i/>
      <w:iCs/>
    </w:rPr>
  </w:style>
  <w:style w:type="character" w:styleId="Gl">
    <w:name w:val="Strong"/>
    <w:basedOn w:val="VarsaylanParagrafYazTipi"/>
    <w:uiPriority w:val="22"/>
    <w:qFormat/>
    <w:rsid w:val="000B187B"/>
    <w:rPr>
      <w:b/>
      <w:bCs/>
    </w:rPr>
  </w:style>
  <w:style w:type="character" w:customStyle="1" w:styleId="apple-converted-space">
    <w:name w:val="apple-converted-space"/>
    <w:basedOn w:val="VarsaylanParagrafYazTipi"/>
    <w:rsid w:val="000B187B"/>
  </w:style>
  <w:style w:type="character" w:customStyle="1" w:styleId="Balk3Char">
    <w:name w:val="Başlık 3 Char"/>
    <w:basedOn w:val="VarsaylanParagrafYazTipi"/>
    <w:link w:val="Balk3"/>
    <w:uiPriority w:val="9"/>
    <w:rsid w:val="008C152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C152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1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1B2FB0"/>
    <w:pPr>
      <w:spacing w:line="240" w:lineRule="auto"/>
    </w:pPr>
    <w:rPr>
      <w:b/>
      <w:bCs/>
      <w:color w:val="4F81BD" w:themeColor="accent1"/>
      <w:sz w:val="18"/>
      <w:szCs w:val="18"/>
    </w:rPr>
  </w:style>
  <w:style w:type="paragraph" w:customStyle="1" w:styleId="Default">
    <w:name w:val="Default"/>
    <w:rsid w:val="003D0F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847">
      <w:bodyDiv w:val="1"/>
      <w:marLeft w:val="0"/>
      <w:marRight w:val="0"/>
      <w:marTop w:val="0"/>
      <w:marBottom w:val="0"/>
      <w:divBdr>
        <w:top w:val="none" w:sz="0" w:space="0" w:color="auto"/>
        <w:left w:val="none" w:sz="0" w:space="0" w:color="auto"/>
        <w:bottom w:val="none" w:sz="0" w:space="0" w:color="auto"/>
        <w:right w:val="none" w:sz="0" w:space="0" w:color="auto"/>
      </w:divBdr>
    </w:div>
    <w:div w:id="361591471">
      <w:bodyDiv w:val="1"/>
      <w:marLeft w:val="0"/>
      <w:marRight w:val="0"/>
      <w:marTop w:val="0"/>
      <w:marBottom w:val="0"/>
      <w:divBdr>
        <w:top w:val="none" w:sz="0" w:space="0" w:color="auto"/>
        <w:left w:val="none" w:sz="0" w:space="0" w:color="auto"/>
        <w:bottom w:val="none" w:sz="0" w:space="0" w:color="auto"/>
        <w:right w:val="none" w:sz="0" w:space="0" w:color="auto"/>
      </w:divBdr>
      <w:divsChild>
        <w:div w:id="1521705074">
          <w:marLeft w:val="0"/>
          <w:marRight w:val="0"/>
          <w:marTop w:val="0"/>
          <w:marBottom w:val="0"/>
          <w:divBdr>
            <w:top w:val="none" w:sz="0" w:space="0" w:color="auto"/>
            <w:left w:val="none" w:sz="0" w:space="0" w:color="auto"/>
            <w:bottom w:val="none" w:sz="0" w:space="0" w:color="auto"/>
            <w:right w:val="none" w:sz="0" w:space="0" w:color="auto"/>
          </w:divBdr>
          <w:divsChild>
            <w:div w:id="143350469">
              <w:marLeft w:val="0"/>
              <w:marRight w:val="0"/>
              <w:marTop w:val="0"/>
              <w:marBottom w:val="0"/>
              <w:divBdr>
                <w:top w:val="none" w:sz="0" w:space="0" w:color="auto"/>
                <w:left w:val="none" w:sz="0" w:space="0" w:color="auto"/>
                <w:bottom w:val="none" w:sz="0" w:space="0" w:color="auto"/>
                <w:right w:val="none" w:sz="0" w:space="0" w:color="auto"/>
              </w:divBdr>
              <w:divsChild>
                <w:div w:id="1904363832">
                  <w:marLeft w:val="75"/>
                  <w:marRight w:val="75"/>
                  <w:marTop w:val="0"/>
                  <w:marBottom w:val="0"/>
                  <w:divBdr>
                    <w:top w:val="none" w:sz="0" w:space="0" w:color="auto"/>
                    <w:left w:val="none" w:sz="0" w:space="0" w:color="auto"/>
                    <w:bottom w:val="none" w:sz="0" w:space="0" w:color="auto"/>
                    <w:right w:val="none" w:sz="0" w:space="0" w:color="auto"/>
                  </w:divBdr>
                  <w:divsChild>
                    <w:div w:id="157596898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0286">
      <w:bodyDiv w:val="1"/>
      <w:marLeft w:val="0"/>
      <w:marRight w:val="0"/>
      <w:marTop w:val="0"/>
      <w:marBottom w:val="0"/>
      <w:divBdr>
        <w:top w:val="none" w:sz="0" w:space="0" w:color="auto"/>
        <w:left w:val="none" w:sz="0" w:space="0" w:color="auto"/>
        <w:bottom w:val="none" w:sz="0" w:space="0" w:color="auto"/>
        <w:right w:val="none" w:sz="0" w:space="0" w:color="auto"/>
      </w:divBdr>
      <w:divsChild>
        <w:div w:id="739713341">
          <w:marLeft w:val="0"/>
          <w:marRight w:val="0"/>
          <w:marTop w:val="0"/>
          <w:marBottom w:val="0"/>
          <w:divBdr>
            <w:top w:val="none" w:sz="0" w:space="0" w:color="auto"/>
            <w:left w:val="none" w:sz="0" w:space="0" w:color="auto"/>
            <w:bottom w:val="none" w:sz="0" w:space="0" w:color="auto"/>
            <w:right w:val="none" w:sz="0" w:space="0" w:color="auto"/>
          </w:divBdr>
          <w:divsChild>
            <w:div w:id="1535344587">
              <w:marLeft w:val="0"/>
              <w:marRight w:val="0"/>
              <w:marTop w:val="0"/>
              <w:marBottom w:val="0"/>
              <w:divBdr>
                <w:top w:val="none" w:sz="0" w:space="0" w:color="auto"/>
                <w:left w:val="none" w:sz="0" w:space="0" w:color="auto"/>
                <w:bottom w:val="none" w:sz="0" w:space="0" w:color="auto"/>
                <w:right w:val="none" w:sz="0" w:space="0" w:color="auto"/>
              </w:divBdr>
              <w:divsChild>
                <w:div w:id="507601709">
                  <w:marLeft w:val="0"/>
                  <w:marRight w:val="0"/>
                  <w:marTop w:val="0"/>
                  <w:marBottom w:val="0"/>
                  <w:divBdr>
                    <w:top w:val="none" w:sz="0" w:space="0" w:color="auto"/>
                    <w:left w:val="none" w:sz="0" w:space="0" w:color="auto"/>
                    <w:bottom w:val="none" w:sz="0" w:space="0" w:color="auto"/>
                    <w:right w:val="none" w:sz="0" w:space="0" w:color="auto"/>
                  </w:divBdr>
                  <w:divsChild>
                    <w:div w:id="1959991969">
                      <w:marLeft w:val="0"/>
                      <w:marRight w:val="0"/>
                      <w:marTop w:val="0"/>
                      <w:marBottom w:val="0"/>
                      <w:divBdr>
                        <w:top w:val="none" w:sz="0" w:space="0" w:color="auto"/>
                        <w:left w:val="none" w:sz="0" w:space="0" w:color="auto"/>
                        <w:bottom w:val="none" w:sz="0" w:space="0" w:color="auto"/>
                        <w:right w:val="none" w:sz="0" w:space="0" w:color="auto"/>
                      </w:divBdr>
                      <w:divsChild>
                        <w:div w:id="1999338958">
                          <w:marLeft w:val="0"/>
                          <w:marRight w:val="0"/>
                          <w:marTop w:val="0"/>
                          <w:marBottom w:val="0"/>
                          <w:divBdr>
                            <w:top w:val="none" w:sz="0" w:space="0" w:color="auto"/>
                            <w:left w:val="none" w:sz="0" w:space="0" w:color="auto"/>
                            <w:bottom w:val="none" w:sz="0" w:space="0" w:color="auto"/>
                            <w:right w:val="none" w:sz="0" w:space="0" w:color="auto"/>
                          </w:divBdr>
                          <w:divsChild>
                            <w:div w:id="1916163788">
                              <w:marLeft w:val="0"/>
                              <w:marRight w:val="0"/>
                              <w:marTop w:val="0"/>
                              <w:marBottom w:val="0"/>
                              <w:divBdr>
                                <w:top w:val="none" w:sz="0" w:space="0" w:color="auto"/>
                                <w:left w:val="none" w:sz="0" w:space="0" w:color="auto"/>
                                <w:bottom w:val="none" w:sz="0" w:space="0" w:color="auto"/>
                                <w:right w:val="none" w:sz="0" w:space="0" w:color="auto"/>
                              </w:divBdr>
                              <w:divsChild>
                                <w:div w:id="2060471191">
                                  <w:marLeft w:val="0"/>
                                  <w:marRight w:val="0"/>
                                  <w:marTop w:val="0"/>
                                  <w:marBottom w:val="0"/>
                                  <w:divBdr>
                                    <w:top w:val="none" w:sz="0" w:space="0" w:color="auto"/>
                                    <w:left w:val="none" w:sz="0" w:space="0" w:color="auto"/>
                                    <w:bottom w:val="none" w:sz="0" w:space="0" w:color="auto"/>
                                    <w:right w:val="none" w:sz="0" w:space="0" w:color="auto"/>
                                  </w:divBdr>
                                  <w:divsChild>
                                    <w:div w:id="1360473775">
                                      <w:marLeft w:val="0"/>
                                      <w:marRight w:val="0"/>
                                      <w:marTop w:val="0"/>
                                      <w:marBottom w:val="0"/>
                                      <w:divBdr>
                                        <w:top w:val="none" w:sz="0" w:space="0" w:color="auto"/>
                                        <w:left w:val="none" w:sz="0" w:space="0" w:color="auto"/>
                                        <w:bottom w:val="none" w:sz="0" w:space="0" w:color="auto"/>
                                        <w:right w:val="none" w:sz="0" w:space="0" w:color="auto"/>
                                      </w:divBdr>
                                      <w:divsChild>
                                        <w:div w:id="1789809332">
                                          <w:marLeft w:val="0"/>
                                          <w:marRight w:val="0"/>
                                          <w:marTop w:val="0"/>
                                          <w:marBottom w:val="0"/>
                                          <w:divBdr>
                                            <w:top w:val="none" w:sz="0" w:space="0" w:color="auto"/>
                                            <w:left w:val="none" w:sz="0" w:space="0" w:color="auto"/>
                                            <w:bottom w:val="none" w:sz="0" w:space="0" w:color="auto"/>
                                            <w:right w:val="none" w:sz="0" w:space="0" w:color="auto"/>
                                          </w:divBdr>
                                          <w:divsChild>
                                            <w:div w:id="19088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9869">
      <w:bodyDiv w:val="1"/>
      <w:marLeft w:val="0"/>
      <w:marRight w:val="0"/>
      <w:marTop w:val="0"/>
      <w:marBottom w:val="0"/>
      <w:divBdr>
        <w:top w:val="none" w:sz="0" w:space="0" w:color="auto"/>
        <w:left w:val="none" w:sz="0" w:space="0" w:color="auto"/>
        <w:bottom w:val="none" w:sz="0" w:space="0" w:color="auto"/>
        <w:right w:val="none" w:sz="0" w:space="0" w:color="auto"/>
      </w:divBdr>
    </w:div>
    <w:div w:id="965937498">
      <w:bodyDiv w:val="1"/>
      <w:marLeft w:val="0"/>
      <w:marRight w:val="0"/>
      <w:marTop w:val="0"/>
      <w:marBottom w:val="0"/>
      <w:divBdr>
        <w:top w:val="none" w:sz="0" w:space="0" w:color="auto"/>
        <w:left w:val="none" w:sz="0" w:space="0" w:color="auto"/>
        <w:bottom w:val="none" w:sz="0" w:space="0" w:color="auto"/>
        <w:right w:val="none" w:sz="0" w:space="0" w:color="auto"/>
      </w:divBdr>
      <w:divsChild>
        <w:div w:id="1761368445">
          <w:marLeft w:val="0"/>
          <w:marRight w:val="0"/>
          <w:marTop w:val="0"/>
          <w:marBottom w:val="0"/>
          <w:divBdr>
            <w:top w:val="none" w:sz="0" w:space="0" w:color="auto"/>
            <w:left w:val="none" w:sz="0" w:space="0" w:color="auto"/>
            <w:bottom w:val="none" w:sz="0" w:space="0" w:color="auto"/>
            <w:right w:val="none" w:sz="0" w:space="0" w:color="auto"/>
          </w:divBdr>
          <w:divsChild>
            <w:div w:id="196936463">
              <w:marLeft w:val="0"/>
              <w:marRight w:val="0"/>
              <w:marTop w:val="0"/>
              <w:marBottom w:val="0"/>
              <w:divBdr>
                <w:top w:val="none" w:sz="0" w:space="0" w:color="auto"/>
                <w:left w:val="none" w:sz="0" w:space="0" w:color="auto"/>
                <w:bottom w:val="none" w:sz="0" w:space="0" w:color="auto"/>
                <w:right w:val="none" w:sz="0" w:space="0" w:color="auto"/>
              </w:divBdr>
              <w:divsChild>
                <w:div w:id="493422970">
                  <w:marLeft w:val="0"/>
                  <w:marRight w:val="0"/>
                  <w:marTop w:val="195"/>
                  <w:marBottom w:val="0"/>
                  <w:divBdr>
                    <w:top w:val="none" w:sz="0" w:space="0" w:color="auto"/>
                    <w:left w:val="none" w:sz="0" w:space="0" w:color="auto"/>
                    <w:bottom w:val="none" w:sz="0" w:space="0" w:color="auto"/>
                    <w:right w:val="none" w:sz="0" w:space="0" w:color="auto"/>
                  </w:divBdr>
                  <w:divsChild>
                    <w:div w:id="1150825046">
                      <w:marLeft w:val="0"/>
                      <w:marRight w:val="0"/>
                      <w:marTop w:val="0"/>
                      <w:marBottom w:val="0"/>
                      <w:divBdr>
                        <w:top w:val="none" w:sz="0" w:space="0" w:color="auto"/>
                        <w:left w:val="none" w:sz="0" w:space="0" w:color="auto"/>
                        <w:bottom w:val="none" w:sz="0" w:space="0" w:color="auto"/>
                        <w:right w:val="none" w:sz="0" w:space="0" w:color="auto"/>
                      </w:divBdr>
                      <w:divsChild>
                        <w:div w:id="121511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936081">
                          <w:marLeft w:val="0"/>
                          <w:marRight w:val="0"/>
                          <w:marTop w:val="0"/>
                          <w:marBottom w:val="0"/>
                          <w:divBdr>
                            <w:top w:val="none" w:sz="0" w:space="0" w:color="auto"/>
                            <w:left w:val="none" w:sz="0" w:space="0" w:color="auto"/>
                            <w:bottom w:val="none" w:sz="0" w:space="0" w:color="auto"/>
                            <w:right w:val="none" w:sz="0" w:space="0" w:color="auto"/>
                          </w:divBdr>
                        </w:div>
                        <w:div w:id="176495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40391">
                          <w:marLeft w:val="0"/>
                          <w:marRight w:val="0"/>
                          <w:marTop w:val="0"/>
                          <w:marBottom w:val="0"/>
                          <w:divBdr>
                            <w:top w:val="none" w:sz="0" w:space="0" w:color="auto"/>
                            <w:left w:val="none" w:sz="0" w:space="0" w:color="auto"/>
                            <w:bottom w:val="none" w:sz="0" w:space="0" w:color="auto"/>
                            <w:right w:val="none" w:sz="0" w:space="0" w:color="auto"/>
                          </w:divBdr>
                        </w:div>
                        <w:div w:id="216627098">
                          <w:marLeft w:val="0"/>
                          <w:marRight w:val="0"/>
                          <w:marTop w:val="0"/>
                          <w:marBottom w:val="0"/>
                          <w:divBdr>
                            <w:top w:val="none" w:sz="0" w:space="0" w:color="auto"/>
                            <w:left w:val="none" w:sz="0" w:space="0" w:color="auto"/>
                            <w:bottom w:val="none" w:sz="0" w:space="0" w:color="auto"/>
                            <w:right w:val="none" w:sz="0" w:space="0" w:color="auto"/>
                          </w:divBdr>
                        </w:div>
                        <w:div w:id="187446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685112">
                          <w:marLeft w:val="0"/>
                          <w:marRight w:val="0"/>
                          <w:marTop w:val="0"/>
                          <w:marBottom w:val="0"/>
                          <w:divBdr>
                            <w:top w:val="none" w:sz="0" w:space="0" w:color="auto"/>
                            <w:left w:val="none" w:sz="0" w:space="0" w:color="auto"/>
                            <w:bottom w:val="none" w:sz="0" w:space="0" w:color="auto"/>
                            <w:right w:val="none" w:sz="0" w:space="0" w:color="auto"/>
                          </w:divBdr>
                        </w:div>
                        <w:div w:id="1612929631">
                          <w:marLeft w:val="0"/>
                          <w:marRight w:val="0"/>
                          <w:marTop w:val="0"/>
                          <w:marBottom w:val="0"/>
                          <w:divBdr>
                            <w:top w:val="none" w:sz="0" w:space="0" w:color="auto"/>
                            <w:left w:val="none" w:sz="0" w:space="0" w:color="auto"/>
                            <w:bottom w:val="none" w:sz="0" w:space="0" w:color="auto"/>
                            <w:right w:val="none" w:sz="0" w:space="0" w:color="auto"/>
                          </w:divBdr>
                        </w:div>
                        <w:div w:id="378668144">
                          <w:marLeft w:val="0"/>
                          <w:marRight w:val="0"/>
                          <w:marTop w:val="0"/>
                          <w:marBottom w:val="0"/>
                          <w:divBdr>
                            <w:top w:val="none" w:sz="0" w:space="0" w:color="auto"/>
                            <w:left w:val="none" w:sz="0" w:space="0" w:color="auto"/>
                            <w:bottom w:val="none" w:sz="0" w:space="0" w:color="auto"/>
                            <w:right w:val="none" w:sz="0" w:space="0" w:color="auto"/>
                          </w:divBdr>
                        </w:div>
                        <w:div w:id="1364407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394576">
                          <w:marLeft w:val="0"/>
                          <w:marRight w:val="0"/>
                          <w:marTop w:val="0"/>
                          <w:marBottom w:val="0"/>
                          <w:divBdr>
                            <w:top w:val="none" w:sz="0" w:space="0" w:color="auto"/>
                            <w:left w:val="none" w:sz="0" w:space="0" w:color="auto"/>
                            <w:bottom w:val="none" w:sz="0" w:space="0" w:color="auto"/>
                            <w:right w:val="none" w:sz="0" w:space="0" w:color="auto"/>
                          </w:divBdr>
                        </w:div>
                        <w:div w:id="166372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52607">
                          <w:marLeft w:val="0"/>
                          <w:marRight w:val="0"/>
                          <w:marTop w:val="0"/>
                          <w:marBottom w:val="0"/>
                          <w:divBdr>
                            <w:top w:val="none" w:sz="0" w:space="0" w:color="auto"/>
                            <w:left w:val="none" w:sz="0" w:space="0" w:color="auto"/>
                            <w:bottom w:val="none" w:sz="0" w:space="0" w:color="auto"/>
                            <w:right w:val="none" w:sz="0" w:space="0" w:color="auto"/>
                          </w:divBdr>
                        </w:div>
                        <w:div w:id="2033142360">
                          <w:marLeft w:val="0"/>
                          <w:marRight w:val="0"/>
                          <w:marTop w:val="0"/>
                          <w:marBottom w:val="0"/>
                          <w:divBdr>
                            <w:top w:val="none" w:sz="0" w:space="0" w:color="auto"/>
                            <w:left w:val="none" w:sz="0" w:space="0" w:color="auto"/>
                            <w:bottom w:val="none" w:sz="0" w:space="0" w:color="auto"/>
                            <w:right w:val="none" w:sz="0" w:space="0" w:color="auto"/>
                          </w:divBdr>
                        </w:div>
                        <w:div w:id="546842101">
                          <w:marLeft w:val="0"/>
                          <w:marRight w:val="0"/>
                          <w:marTop w:val="0"/>
                          <w:marBottom w:val="0"/>
                          <w:divBdr>
                            <w:top w:val="none" w:sz="0" w:space="0" w:color="auto"/>
                            <w:left w:val="none" w:sz="0" w:space="0" w:color="auto"/>
                            <w:bottom w:val="none" w:sz="0" w:space="0" w:color="auto"/>
                            <w:right w:val="none" w:sz="0" w:space="0" w:color="auto"/>
                          </w:divBdr>
                        </w:div>
                        <w:div w:id="1220436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222044">
                          <w:marLeft w:val="0"/>
                          <w:marRight w:val="0"/>
                          <w:marTop w:val="0"/>
                          <w:marBottom w:val="0"/>
                          <w:divBdr>
                            <w:top w:val="none" w:sz="0" w:space="0" w:color="auto"/>
                            <w:left w:val="none" w:sz="0" w:space="0" w:color="auto"/>
                            <w:bottom w:val="none" w:sz="0" w:space="0" w:color="auto"/>
                            <w:right w:val="none" w:sz="0" w:space="0" w:color="auto"/>
                          </w:divBdr>
                        </w:div>
                        <w:div w:id="45760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4928">
                          <w:marLeft w:val="0"/>
                          <w:marRight w:val="0"/>
                          <w:marTop w:val="0"/>
                          <w:marBottom w:val="0"/>
                          <w:divBdr>
                            <w:top w:val="none" w:sz="0" w:space="0" w:color="auto"/>
                            <w:left w:val="none" w:sz="0" w:space="0" w:color="auto"/>
                            <w:bottom w:val="none" w:sz="0" w:space="0" w:color="auto"/>
                            <w:right w:val="none" w:sz="0" w:space="0" w:color="auto"/>
                          </w:divBdr>
                        </w:div>
                        <w:div w:id="70451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8170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436878">
      <w:bodyDiv w:val="1"/>
      <w:marLeft w:val="0"/>
      <w:marRight w:val="0"/>
      <w:marTop w:val="0"/>
      <w:marBottom w:val="0"/>
      <w:divBdr>
        <w:top w:val="none" w:sz="0" w:space="0" w:color="auto"/>
        <w:left w:val="none" w:sz="0" w:space="0" w:color="auto"/>
        <w:bottom w:val="none" w:sz="0" w:space="0" w:color="auto"/>
        <w:right w:val="none" w:sz="0" w:space="0" w:color="auto"/>
      </w:divBdr>
      <w:divsChild>
        <w:div w:id="323551971">
          <w:marLeft w:val="0"/>
          <w:marRight w:val="0"/>
          <w:marTop w:val="0"/>
          <w:marBottom w:val="0"/>
          <w:divBdr>
            <w:top w:val="none" w:sz="0" w:space="0" w:color="auto"/>
            <w:left w:val="none" w:sz="0" w:space="0" w:color="auto"/>
            <w:bottom w:val="none" w:sz="0" w:space="0" w:color="auto"/>
            <w:right w:val="none" w:sz="0" w:space="0" w:color="auto"/>
          </w:divBdr>
          <w:divsChild>
            <w:div w:id="1313023322">
              <w:marLeft w:val="0"/>
              <w:marRight w:val="0"/>
              <w:marTop w:val="0"/>
              <w:marBottom w:val="600"/>
              <w:divBdr>
                <w:top w:val="none" w:sz="0" w:space="0" w:color="auto"/>
                <w:left w:val="none" w:sz="0" w:space="0" w:color="auto"/>
                <w:bottom w:val="none" w:sz="0" w:space="0" w:color="auto"/>
                <w:right w:val="none" w:sz="0" w:space="0" w:color="auto"/>
              </w:divBdr>
              <w:divsChild>
                <w:div w:id="122617881">
                  <w:marLeft w:val="0"/>
                  <w:marRight w:val="300"/>
                  <w:marTop w:val="0"/>
                  <w:marBottom w:val="0"/>
                  <w:divBdr>
                    <w:top w:val="none" w:sz="0" w:space="0" w:color="auto"/>
                    <w:left w:val="none" w:sz="0" w:space="0" w:color="auto"/>
                    <w:bottom w:val="none" w:sz="0" w:space="0" w:color="auto"/>
                    <w:right w:val="none" w:sz="0" w:space="0" w:color="auto"/>
                  </w:divBdr>
                  <w:divsChild>
                    <w:div w:id="2051688870">
                      <w:marLeft w:val="0"/>
                      <w:marRight w:val="0"/>
                      <w:marTop w:val="0"/>
                      <w:marBottom w:val="150"/>
                      <w:divBdr>
                        <w:top w:val="none" w:sz="0" w:space="0" w:color="auto"/>
                        <w:left w:val="none" w:sz="0" w:space="0" w:color="auto"/>
                        <w:bottom w:val="none" w:sz="0" w:space="0" w:color="auto"/>
                        <w:right w:val="none" w:sz="0" w:space="0" w:color="auto"/>
                      </w:divBdr>
                      <w:divsChild>
                        <w:div w:id="16996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86357">
      <w:bodyDiv w:val="1"/>
      <w:marLeft w:val="0"/>
      <w:marRight w:val="0"/>
      <w:marTop w:val="0"/>
      <w:marBottom w:val="0"/>
      <w:divBdr>
        <w:top w:val="none" w:sz="0" w:space="0" w:color="auto"/>
        <w:left w:val="none" w:sz="0" w:space="0" w:color="auto"/>
        <w:bottom w:val="none" w:sz="0" w:space="0" w:color="auto"/>
        <w:right w:val="none" w:sz="0" w:space="0" w:color="auto"/>
      </w:divBdr>
    </w:div>
    <w:div w:id="1959607087">
      <w:bodyDiv w:val="1"/>
      <w:marLeft w:val="0"/>
      <w:marRight w:val="0"/>
      <w:marTop w:val="0"/>
      <w:marBottom w:val="0"/>
      <w:divBdr>
        <w:top w:val="none" w:sz="0" w:space="0" w:color="auto"/>
        <w:left w:val="none" w:sz="0" w:space="0" w:color="auto"/>
        <w:bottom w:val="none" w:sz="0" w:space="0" w:color="auto"/>
        <w:right w:val="none" w:sz="0" w:space="0" w:color="auto"/>
      </w:divBdr>
      <w:divsChild>
        <w:div w:id="1253975159">
          <w:marLeft w:val="0"/>
          <w:marRight w:val="0"/>
          <w:marTop w:val="0"/>
          <w:marBottom w:val="0"/>
          <w:divBdr>
            <w:top w:val="none" w:sz="0" w:space="0" w:color="auto"/>
            <w:left w:val="none" w:sz="0" w:space="0" w:color="auto"/>
            <w:bottom w:val="none" w:sz="0" w:space="0" w:color="auto"/>
            <w:right w:val="none" w:sz="0" w:space="0" w:color="auto"/>
          </w:divBdr>
          <w:divsChild>
            <w:div w:id="1347100249">
              <w:marLeft w:val="0"/>
              <w:marRight w:val="0"/>
              <w:marTop w:val="0"/>
              <w:marBottom w:val="0"/>
              <w:divBdr>
                <w:top w:val="none" w:sz="0" w:space="0" w:color="auto"/>
                <w:left w:val="none" w:sz="0" w:space="0" w:color="auto"/>
                <w:bottom w:val="none" w:sz="0" w:space="0" w:color="auto"/>
                <w:right w:val="none" w:sz="0" w:space="0" w:color="auto"/>
              </w:divBdr>
              <w:divsChild>
                <w:div w:id="1804231035">
                  <w:marLeft w:val="0"/>
                  <w:marRight w:val="0"/>
                  <w:marTop w:val="0"/>
                  <w:marBottom w:val="0"/>
                  <w:divBdr>
                    <w:top w:val="none" w:sz="0" w:space="0" w:color="auto"/>
                    <w:left w:val="none" w:sz="0" w:space="0" w:color="auto"/>
                    <w:bottom w:val="none" w:sz="0" w:space="0" w:color="auto"/>
                    <w:right w:val="none" w:sz="0" w:space="0" w:color="auto"/>
                  </w:divBdr>
                  <w:divsChild>
                    <w:div w:id="1776752738">
                      <w:marLeft w:val="0"/>
                      <w:marRight w:val="0"/>
                      <w:marTop w:val="0"/>
                      <w:marBottom w:val="0"/>
                      <w:divBdr>
                        <w:top w:val="none" w:sz="0" w:space="0" w:color="auto"/>
                        <w:left w:val="none" w:sz="0" w:space="0" w:color="auto"/>
                        <w:bottom w:val="none" w:sz="0" w:space="0" w:color="auto"/>
                        <w:right w:val="none" w:sz="0" w:space="0" w:color="auto"/>
                      </w:divBdr>
                      <w:divsChild>
                        <w:div w:id="2008704597">
                          <w:marLeft w:val="0"/>
                          <w:marRight w:val="0"/>
                          <w:marTop w:val="0"/>
                          <w:marBottom w:val="0"/>
                          <w:divBdr>
                            <w:top w:val="none" w:sz="0" w:space="0" w:color="auto"/>
                            <w:left w:val="none" w:sz="0" w:space="0" w:color="auto"/>
                            <w:bottom w:val="none" w:sz="0" w:space="0" w:color="auto"/>
                            <w:right w:val="none" w:sz="0" w:space="0" w:color="auto"/>
                          </w:divBdr>
                          <w:divsChild>
                            <w:div w:id="9433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image" Target="media/image4.jpeg"/><Relationship Id="rId10" Type="http://schemas.openxmlformats.org/officeDocument/2006/relationships/oleObject" Target="embeddings/oleObject2.bin"/><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600"/>
              <a:t>TURİZMİN İTALYA EKONOMİSİ İÇİNDEKİ PAYI (GSMH)</a:t>
            </a:r>
          </a:p>
        </c:rich>
      </c:tx>
      <c:overlay val="0"/>
    </c:title>
    <c:autoTitleDeleted val="0"/>
    <c:view3D>
      <c:rotX val="20"/>
      <c:rotY val="110"/>
      <c:rAngAx val="0"/>
      <c:perspective val="10"/>
    </c:view3D>
    <c:floor>
      <c:thickness val="0"/>
    </c:floor>
    <c:sideWall>
      <c:thickness val="0"/>
    </c:sideWall>
    <c:backWall>
      <c:thickness val="0"/>
    </c:backWall>
    <c:plotArea>
      <c:layout>
        <c:manualLayout>
          <c:layoutTarget val="inner"/>
          <c:xMode val="edge"/>
          <c:yMode val="edge"/>
          <c:x val="8.8569736074657318E-2"/>
          <c:y val="0.22774028246469194"/>
          <c:w val="0.64275645231846013"/>
          <c:h val="0.64352737157855266"/>
        </c:manualLayout>
      </c:layout>
      <c:pie3DChart>
        <c:varyColors val="1"/>
        <c:ser>
          <c:idx val="0"/>
          <c:order val="0"/>
          <c:tx>
            <c:strRef>
              <c:f>Sayfa1!$B$1</c:f>
              <c:strCache>
                <c:ptCount val="1"/>
                <c:pt idx="0">
                  <c:v>TURİZMİN İTALYA EKONOMİSİ İÇİNDEKİ PAYI (GSMH Payı)</c:v>
                </c:pt>
              </c:strCache>
            </c:strRef>
          </c:tx>
          <c:explosion val="25"/>
          <c:dPt>
            <c:idx val="1"/>
            <c:bubble3D val="0"/>
            <c:spPr>
              <a:solidFill>
                <a:schemeClr val="accent2">
                  <a:lumMod val="75000"/>
                </a:schemeClr>
              </a:solidFill>
            </c:spPr>
          </c:dPt>
          <c:dLbls>
            <c:dLbl>
              <c:idx val="1"/>
              <c:layout>
                <c:manualLayout>
                  <c:x val="-4.5105807086614172E-2"/>
                  <c:y val="-7.3056886165991652E-2"/>
                </c:manualLayout>
              </c:layout>
              <c:showLegendKey val="0"/>
              <c:showVal val="1"/>
              <c:showCatName val="1"/>
              <c:showSerName val="0"/>
              <c:showPercent val="0"/>
              <c:showBubbleSize val="0"/>
            </c:dLbl>
            <c:dLbl>
              <c:idx val="2"/>
              <c:layout>
                <c:manualLayout>
                  <c:x val="-0.14663476961213182"/>
                  <c:y val="-9.7260736205144138E-2"/>
                </c:manualLayout>
              </c:layout>
              <c:tx>
                <c:rich>
                  <a:bodyPr/>
                  <a:lstStyle/>
                  <a:p>
                    <a:r>
                      <a:rPr lang="en-US" sz="1200" b="1">
                        <a:solidFill>
                          <a:schemeClr val="bg1"/>
                        </a:solidFill>
                      </a:rPr>
                      <a:t>Turizm; 10,9</a:t>
                    </a:r>
                  </a:p>
                </c:rich>
              </c:tx>
              <c:showLegendKey val="0"/>
              <c:showVal val="1"/>
              <c:showCatName val="1"/>
              <c:showSerName val="0"/>
              <c:showPercent val="0"/>
              <c:showBubbleSize val="0"/>
              <c:separator> </c:separator>
            </c:dLbl>
            <c:dLbl>
              <c:idx val="3"/>
              <c:layout>
                <c:manualLayout>
                  <c:x val="0.14803824001166521"/>
                  <c:y val="-0.13575732019124576"/>
                </c:manualLayout>
              </c:layout>
              <c:tx>
                <c:rich>
                  <a:bodyPr/>
                  <a:lstStyle/>
                  <a:p>
                    <a:r>
                      <a:rPr lang="en-US" b="1">
                        <a:solidFill>
                          <a:schemeClr val="bg1"/>
                        </a:solidFill>
                      </a:rPr>
                      <a:t>Hizmet sektörü diğer; 60,8</a:t>
                    </a:r>
                  </a:p>
                </c:rich>
              </c:tx>
              <c:showLegendKey val="0"/>
              <c:showVal val="1"/>
              <c:showCatName val="1"/>
              <c:showSerName val="0"/>
              <c:showPercent val="0"/>
              <c:showBubbleSize val="0"/>
            </c:dLbl>
            <c:txPr>
              <a:bodyPr/>
              <a:lstStyle/>
              <a:p>
                <a:pPr>
                  <a:defRPr b="1"/>
                </a:pPr>
                <a:endParaRPr lang="tr-TR"/>
              </a:p>
            </c:txPr>
            <c:showLegendKey val="0"/>
            <c:showVal val="1"/>
            <c:showCatName val="1"/>
            <c:showSerName val="0"/>
            <c:showPercent val="0"/>
            <c:showBubbleSize val="0"/>
            <c:showLeaderLines val="1"/>
          </c:dLbls>
          <c:cat>
            <c:strRef>
              <c:f>Sayfa1!$A$2:$A$3</c:f>
              <c:strCache>
                <c:ptCount val="2"/>
                <c:pt idx="0">
                  <c:v>Turizm</c:v>
                </c:pt>
                <c:pt idx="1">
                  <c:v>Diğer</c:v>
                </c:pt>
              </c:strCache>
            </c:strRef>
          </c:cat>
          <c:val>
            <c:numRef>
              <c:f>Sayfa1!$B$2:$B$3</c:f>
              <c:numCache>
                <c:formatCode>0.00%</c:formatCode>
                <c:ptCount val="2"/>
                <c:pt idx="0">
                  <c:v>0.10299999999999999</c:v>
                </c:pt>
                <c:pt idx="1">
                  <c:v>0.89700000000000002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effectLst>
      <a:outerShdw blurRad="50800" dist="38100" dir="2700000" sx="101000" sy="101000" algn="tl"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a:t>
            </a:r>
            <a:r>
              <a:rPr lang="tr-TR"/>
              <a:t>TALYA</a:t>
            </a:r>
            <a:r>
              <a:rPr lang="en-US"/>
              <a:t>'NIN SON 10 YILDAKİ </a:t>
            </a:r>
            <a:r>
              <a:rPr lang="tr-TR"/>
              <a:t>TURİST SAYISI</a:t>
            </a:r>
            <a:endParaRPr lang="en-US"/>
          </a:p>
        </c:rich>
      </c:tx>
      <c:overlay val="0"/>
    </c:title>
    <c:autoTitleDeleted val="0"/>
    <c:view3D>
      <c:rotX val="10"/>
      <c:rotY val="40"/>
      <c:rAngAx val="0"/>
      <c:perspective val="30"/>
    </c:view3D>
    <c:floor>
      <c:thickness val="0"/>
    </c:floor>
    <c:sideWall>
      <c:thickness val="0"/>
    </c:sideWall>
    <c:backWall>
      <c:thickness val="0"/>
    </c:backWall>
    <c:plotArea>
      <c:layout/>
      <c:area3DChart>
        <c:grouping val="standard"/>
        <c:varyColors val="0"/>
        <c:ser>
          <c:idx val="0"/>
          <c:order val="0"/>
          <c:tx>
            <c:strRef>
              <c:f>Sayfa1!$B$1</c:f>
              <c:strCache>
                <c:ptCount val="1"/>
                <c:pt idx="0">
                  <c:v>İSPANYA'NIN SON 10 YILDAKİ ZİYARETÇİ SAYILARI </c:v>
                </c:pt>
              </c:strCache>
            </c:strRef>
          </c:tx>
          <c:spPr>
            <a:effectLst>
              <a:outerShdw blurRad="50800" dist="50800" dir="5400000" sx="1000" sy="1000" algn="ctr" rotWithShape="0">
                <a:srgbClr val="000000">
                  <a:alpha val="43137"/>
                </a:srgbClr>
              </a:outerShdw>
            </a:effectLst>
          </c:spPr>
          <c:dLbls>
            <c:dLbl>
              <c:idx val="0"/>
              <c:layout>
                <c:manualLayout>
                  <c:x val="1.6215802967572943E-2"/>
                  <c:y val="-4.5190325026633171E-2"/>
                </c:manualLayout>
              </c:layout>
              <c:spPr>
                <a:effectLst>
                  <a:outerShdw blurRad="50800" dist="38100" dir="2700000" algn="tl" rotWithShape="0">
                    <a:prstClr val="black"/>
                  </a:outerShdw>
                </a:effectLst>
              </c:spPr>
              <c:txPr>
                <a:bodyPr/>
                <a:lstStyle/>
                <a:p>
                  <a:pPr>
                    <a:defRPr b="1">
                      <a:solidFill>
                        <a:schemeClr val="bg1"/>
                      </a:solidFill>
                    </a:defRPr>
                  </a:pPr>
                  <a:endParaRPr lang="tr-TR"/>
                </a:p>
              </c:txPr>
              <c:showLegendKey val="0"/>
              <c:showVal val="1"/>
              <c:showCatName val="0"/>
              <c:showSerName val="0"/>
              <c:showPercent val="0"/>
              <c:showBubbleSize val="0"/>
            </c:dLbl>
            <c:dLbl>
              <c:idx val="1"/>
              <c:layout>
                <c:manualLayout>
                  <c:x val="-4.6234651779351287E-3"/>
                  <c:y val="8.5522691796420976E-3"/>
                </c:manualLayout>
              </c:layout>
              <c:spPr>
                <a:effectLst>
                  <a:outerShdw blurRad="50800" dist="38100" dir="2700000" algn="tl" rotWithShape="0">
                    <a:prstClr val="black"/>
                  </a:outerShdw>
                </a:effectLst>
              </c:spPr>
              <c:txPr>
                <a:bodyPr/>
                <a:lstStyle/>
                <a:p>
                  <a:pPr>
                    <a:defRPr b="1">
                      <a:solidFill>
                        <a:schemeClr val="bg1"/>
                      </a:solidFill>
                    </a:defRPr>
                  </a:pPr>
                  <a:endParaRPr lang="tr-TR"/>
                </a:p>
              </c:txPr>
              <c:showLegendKey val="0"/>
              <c:showVal val="1"/>
              <c:showCatName val="0"/>
              <c:showSerName val="0"/>
              <c:showPercent val="0"/>
              <c:showBubbleSize val="0"/>
            </c:dLbl>
            <c:dLbl>
              <c:idx val="2"/>
              <c:layout>
                <c:manualLayout>
                  <c:x val="-1.6182310148961151E-2"/>
                  <c:y val="6.8418176473777015E-2"/>
                </c:manualLayout>
              </c:layout>
              <c:spPr>
                <a:effectLst>
                  <a:outerShdw blurRad="50800" dist="38100" dir="2700000" algn="tl" rotWithShape="0">
                    <a:prstClr val="black"/>
                  </a:outerShdw>
                </a:effectLst>
              </c:spPr>
              <c:txPr>
                <a:bodyPr/>
                <a:lstStyle/>
                <a:p>
                  <a:pPr>
                    <a:defRPr b="1">
                      <a:solidFill>
                        <a:schemeClr val="bg1"/>
                      </a:solidFill>
                    </a:defRPr>
                  </a:pPr>
                  <a:endParaRPr lang="tr-TR"/>
                </a:p>
              </c:txPr>
              <c:showLegendKey val="0"/>
              <c:showVal val="1"/>
              <c:showCatName val="0"/>
              <c:showSerName val="0"/>
              <c:showPercent val="0"/>
              <c:showBubbleSize val="0"/>
            </c:dLbl>
            <c:dLbl>
              <c:idx val="3"/>
              <c:layout>
                <c:manualLayout>
                  <c:x val="-9.2469303558702989E-3"/>
                  <c:y val="1.7104544118444254E-2"/>
                </c:manualLayout>
              </c:layout>
              <c:spPr>
                <a:effectLst>
                  <a:outerShdw blurRad="50800" dist="38100" dir="2700000" algn="tl" rotWithShape="0">
                    <a:prstClr val="black"/>
                  </a:outerShdw>
                </a:effectLst>
              </c:spPr>
              <c:txPr>
                <a:bodyPr/>
                <a:lstStyle/>
                <a:p>
                  <a:pPr>
                    <a:defRPr b="1">
                      <a:solidFill>
                        <a:schemeClr val="bg1"/>
                      </a:solidFill>
                    </a:defRPr>
                  </a:pPr>
                  <a:endParaRPr lang="tr-TR"/>
                </a:p>
              </c:txPr>
              <c:showLegendKey val="0"/>
              <c:showVal val="1"/>
              <c:showCatName val="0"/>
              <c:showSerName val="0"/>
              <c:showPercent val="0"/>
              <c:showBubbleSize val="0"/>
            </c:dLbl>
            <c:dLbl>
              <c:idx val="4"/>
              <c:layout>
                <c:manualLayout>
                  <c:x val="2.3117325889675747E-3"/>
                  <c:y val="-1.282840808883319E-2"/>
                </c:manualLayout>
              </c:layout>
              <c:spPr>
                <a:effectLst>
                  <a:outerShdw blurRad="50800" dist="38100" dir="2700000" algn="tl" rotWithShape="0">
                    <a:prstClr val="black"/>
                  </a:outerShdw>
                </a:effectLst>
              </c:spPr>
              <c:txPr>
                <a:bodyPr/>
                <a:lstStyle/>
                <a:p>
                  <a:pPr>
                    <a:defRPr b="1">
                      <a:solidFill>
                        <a:schemeClr val="bg1"/>
                      </a:solidFill>
                    </a:defRPr>
                  </a:pPr>
                  <a:endParaRPr lang="tr-TR"/>
                </a:p>
              </c:txPr>
              <c:showLegendKey val="0"/>
              <c:showVal val="1"/>
              <c:showCatName val="0"/>
              <c:showSerName val="0"/>
              <c:showPercent val="0"/>
              <c:showBubbleSize val="0"/>
            </c:dLbl>
            <c:dLbl>
              <c:idx val="5"/>
              <c:layout>
                <c:manualLayout>
                  <c:x val="-2.3119146151556825E-3"/>
                  <c:y val="-8.5522720592221269E-3"/>
                </c:manualLayout>
              </c:layout>
              <c:spPr>
                <a:effectLst>
                  <a:outerShdw blurRad="50800" dist="38100" dir="2700000" algn="tl" rotWithShape="0">
                    <a:prstClr val="black"/>
                  </a:outerShdw>
                </a:effectLst>
              </c:spPr>
              <c:txPr>
                <a:bodyPr/>
                <a:lstStyle/>
                <a:p>
                  <a:pPr>
                    <a:defRPr b="1">
                      <a:solidFill>
                        <a:schemeClr val="bg1"/>
                      </a:solidFill>
                    </a:defRPr>
                  </a:pPr>
                  <a:endParaRPr lang="tr-TR"/>
                </a:p>
              </c:txPr>
              <c:showLegendKey val="0"/>
              <c:showVal val="1"/>
              <c:showCatName val="0"/>
              <c:showSerName val="0"/>
              <c:showPercent val="0"/>
              <c:showBubbleSize val="0"/>
            </c:dLbl>
            <c:dLbl>
              <c:idx val="6"/>
              <c:layout>
                <c:manualLayout>
                  <c:x val="-1.8202618819244561E-7"/>
                  <c:y val="-4.7037496325721698E-2"/>
                </c:manualLayout>
              </c:layout>
              <c:spPr>
                <a:effectLst>
                  <a:outerShdw blurRad="50800" dist="38100" dir="2700000" algn="tl" rotWithShape="0">
                    <a:prstClr val="black"/>
                  </a:outerShdw>
                </a:effectLst>
              </c:spPr>
              <c:txPr>
                <a:bodyPr/>
                <a:lstStyle/>
                <a:p>
                  <a:pPr>
                    <a:defRPr b="1">
                      <a:solidFill>
                        <a:schemeClr val="bg1"/>
                      </a:solidFill>
                    </a:defRPr>
                  </a:pPr>
                  <a:endParaRPr lang="tr-TR"/>
                </a:p>
              </c:txPr>
              <c:showLegendKey val="0"/>
              <c:showVal val="1"/>
              <c:showCatName val="0"/>
              <c:showSerName val="0"/>
              <c:showPercent val="0"/>
              <c:showBubbleSize val="0"/>
            </c:dLbl>
            <c:dLbl>
              <c:idx val="7"/>
              <c:layout>
                <c:manualLayout>
                  <c:x val="-3.6405237621536609E-7"/>
                  <c:y val="-8.5522720592221352E-2"/>
                </c:manualLayout>
              </c:layout>
              <c:spPr>
                <a:effectLst>
                  <a:outerShdw blurRad="50800" dist="38100" dir="2700000" algn="tl" rotWithShape="0">
                    <a:prstClr val="black"/>
                  </a:outerShdw>
                </a:effectLst>
              </c:spPr>
              <c:txPr>
                <a:bodyPr/>
                <a:lstStyle/>
                <a:p>
                  <a:pPr>
                    <a:defRPr b="1">
                      <a:solidFill>
                        <a:schemeClr val="bg1"/>
                      </a:solidFill>
                    </a:defRPr>
                  </a:pPr>
                  <a:endParaRPr lang="tr-TR"/>
                </a:p>
              </c:txPr>
              <c:showLegendKey val="0"/>
              <c:showVal val="1"/>
              <c:showCatName val="0"/>
              <c:showSerName val="0"/>
              <c:showPercent val="0"/>
              <c:showBubbleSize val="0"/>
            </c:dLbl>
            <c:dLbl>
              <c:idx val="8"/>
              <c:layout>
                <c:manualLayout>
                  <c:x val="-4.6238292303114499E-3"/>
                  <c:y val="-0.15394190717687134"/>
                </c:manualLayout>
              </c:layout>
              <c:spPr>
                <a:effectLst>
                  <a:outerShdw blurRad="50800" dist="38100" dir="2700000" algn="tl" rotWithShape="0">
                    <a:prstClr val="black"/>
                  </a:outerShdw>
                </a:effectLst>
              </c:spPr>
              <c:txPr>
                <a:bodyPr/>
                <a:lstStyle/>
                <a:p>
                  <a:pPr>
                    <a:defRPr b="1">
                      <a:solidFill>
                        <a:schemeClr val="bg1"/>
                      </a:solidFill>
                    </a:defRPr>
                  </a:pPr>
                  <a:endParaRPr lang="tr-TR"/>
                </a:p>
              </c:txPr>
              <c:showLegendKey val="0"/>
              <c:showVal val="1"/>
              <c:showCatName val="0"/>
              <c:showSerName val="0"/>
              <c:showPercent val="0"/>
              <c:showBubbleSize val="0"/>
            </c:dLbl>
            <c:dLbl>
              <c:idx val="9"/>
              <c:layout>
                <c:manualLayout>
                  <c:x val="-3.0089474972764332E-2"/>
                  <c:y val="-0.2014575226492111"/>
                </c:manualLayout>
              </c:layout>
              <c:tx>
                <c:rich>
                  <a:bodyPr/>
                  <a:lstStyle/>
                  <a:p>
                    <a:pPr>
                      <a:defRPr b="1">
                        <a:solidFill>
                          <a:schemeClr val="bg1"/>
                        </a:solidFill>
                      </a:defRPr>
                    </a:pPr>
                    <a:r>
                      <a:rPr lang="tr-TR">
                        <a:solidFill>
                          <a:schemeClr val="bg1"/>
                        </a:solidFill>
                      </a:rPr>
                      <a:t>46</a:t>
                    </a:r>
                    <a:r>
                      <a:rPr lang="en-US">
                        <a:solidFill>
                          <a:schemeClr val="bg1"/>
                        </a:solidFill>
                      </a:rPr>
                      <a:t>,</a:t>
                    </a:r>
                    <a:r>
                      <a:rPr lang="tr-TR">
                        <a:solidFill>
                          <a:schemeClr val="bg1"/>
                        </a:solidFill>
                      </a:rPr>
                      <a:t>4</a:t>
                    </a:r>
                    <a:endParaRPr lang="en-US"/>
                  </a:p>
                </c:rich>
              </c:tx>
              <c:spPr>
                <a:effectLst>
                  <a:outerShdw blurRad="50800" dist="38100" dir="2700000" algn="tl" rotWithShape="0">
                    <a:schemeClr val="tx1"/>
                  </a:outerShdw>
                </a:effectLst>
              </c:spPr>
              <c:showLegendKey val="0"/>
              <c:showVal val="1"/>
              <c:showCatName val="0"/>
              <c:showSerName val="0"/>
              <c:showPercent val="0"/>
              <c:showBubbleSize val="0"/>
            </c:dLbl>
            <c:spPr>
              <a:effectLst>
                <a:outerShdw dir="17940000" sx="51000" sy="51000" algn="ctr" rotWithShape="0">
                  <a:srgbClr val="000000"/>
                </a:outerShdw>
              </a:effectLst>
            </c:spPr>
            <c:txPr>
              <a:bodyPr/>
              <a:lstStyle/>
              <a:p>
                <a:pPr>
                  <a:defRPr b="1">
                    <a:solidFill>
                      <a:schemeClr val="bg1"/>
                    </a:solidFill>
                  </a:defRPr>
                </a:pPr>
                <a:endParaRPr lang="tr-TR"/>
              </a:p>
            </c:txPr>
            <c:showLegendKey val="0"/>
            <c:showVal val="1"/>
            <c:showCatName val="0"/>
            <c:showSerName val="0"/>
            <c:showPercent val="0"/>
            <c:showBubbleSize val="0"/>
            <c:showLeaderLines val="0"/>
          </c:dLbls>
          <c:cat>
            <c:numRef>
              <c:f>Sayfa1!$A$2:$A$11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Sayfa1!$B$2:$B$11</c:f>
              <c:numCache>
                <c:formatCode>General</c:formatCode>
                <c:ptCount val="10"/>
                <c:pt idx="0">
                  <c:v>39.799999999999997</c:v>
                </c:pt>
                <c:pt idx="1">
                  <c:v>37.1</c:v>
                </c:pt>
                <c:pt idx="2">
                  <c:v>36.5</c:v>
                </c:pt>
                <c:pt idx="3">
                  <c:v>41.1</c:v>
                </c:pt>
                <c:pt idx="4">
                  <c:v>43.7</c:v>
                </c:pt>
                <c:pt idx="5">
                  <c:v>42.7</c:v>
                </c:pt>
                <c:pt idx="6">
                  <c:v>43.2</c:v>
                </c:pt>
                <c:pt idx="7">
                  <c:v>43.6</c:v>
                </c:pt>
                <c:pt idx="8">
                  <c:v>46.1</c:v>
                </c:pt>
                <c:pt idx="9">
                  <c:v>46.4</c:v>
                </c:pt>
              </c:numCache>
            </c:numRef>
          </c:val>
        </c:ser>
        <c:dLbls>
          <c:showLegendKey val="0"/>
          <c:showVal val="0"/>
          <c:showCatName val="0"/>
          <c:showSerName val="0"/>
          <c:showPercent val="0"/>
          <c:showBubbleSize val="0"/>
        </c:dLbls>
        <c:axId val="127538176"/>
        <c:axId val="126764736"/>
        <c:axId val="140719360"/>
      </c:area3DChart>
      <c:catAx>
        <c:axId val="127538176"/>
        <c:scaling>
          <c:orientation val="minMax"/>
        </c:scaling>
        <c:delete val="0"/>
        <c:axPos val="b"/>
        <c:numFmt formatCode="General" sourceLinked="1"/>
        <c:majorTickMark val="out"/>
        <c:minorTickMark val="none"/>
        <c:tickLblPos val="nextTo"/>
        <c:crossAx val="126764736"/>
        <c:crosses val="autoZero"/>
        <c:auto val="1"/>
        <c:lblAlgn val="ctr"/>
        <c:lblOffset val="100"/>
        <c:noMultiLvlLbl val="0"/>
      </c:catAx>
      <c:valAx>
        <c:axId val="126764736"/>
        <c:scaling>
          <c:orientation val="minMax"/>
        </c:scaling>
        <c:delete val="0"/>
        <c:axPos val="l"/>
        <c:majorGridlines/>
        <c:numFmt formatCode="General" sourceLinked="1"/>
        <c:majorTickMark val="out"/>
        <c:minorTickMark val="none"/>
        <c:tickLblPos val="nextTo"/>
        <c:crossAx val="127538176"/>
        <c:crosses val="autoZero"/>
        <c:crossBetween val="midCat"/>
      </c:valAx>
      <c:serAx>
        <c:axId val="140719360"/>
        <c:scaling>
          <c:orientation val="minMax"/>
        </c:scaling>
        <c:delete val="0"/>
        <c:axPos val="b"/>
        <c:majorTickMark val="out"/>
        <c:minorTickMark val="none"/>
        <c:tickLblPos val="nextTo"/>
        <c:crossAx val="126764736"/>
        <c:crosses val="autoZero"/>
      </c:serAx>
    </c:plotArea>
    <c:plotVisOnly val="1"/>
    <c:dispBlanksAs val="gap"/>
    <c:showDLblsOverMax val="0"/>
  </c:chart>
  <c:spPr>
    <a:effectLst>
      <a:outerShdw blurRad="50800" dist="38100" dir="2700000" sx="101000" sy="101000" algn="tl" rotWithShape="0">
        <a:prstClr val="black">
          <a:alpha val="40000"/>
        </a:prstClr>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GECELEME SAYISINDA İLK 5 </a:t>
            </a:r>
            <a:r>
              <a:rPr lang="tr-TR" sz="1400"/>
              <a:t>AB </a:t>
            </a:r>
            <a:r>
              <a:rPr lang="en-US" sz="1400"/>
              <a:t>ÜLKE</a:t>
            </a:r>
            <a:r>
              <a:rPr lang="tr-TR" sz="1400"/>
              <a:t>Sİ (Milyon)</a:t>
            </a:r>
            <a:endParaRPr lang="en-US"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GECELEME SAYISINDA İLK 5 ÜLKE</c:v>
                </c:pt>
              </c:strCache>
            </c:strRef>
          </c:tx>
          <c:invertIfNegative val="0"/>
          <c:dLbls>
            <c:dLbl>
              <c:idx val="0"/>
              <c:layout>
                <c:manualLayout>
                  <c:x val="1.8518518518518497E-2"/>
                  <c:y val="-1.5891179206829954E-2"/>
                </c:manualLayout>
              </c:layout>
              <c:showLegendKey val="0"/>
              <c:showVal val="1"/>
              <c:showCatName val="0"/>
              <c:showSerName val="0"/>
              <c:showPercent val="0"/>
              <c:showBubbleSize val="0"/>
            </c:dLbl>
            <c:dLbl>
              <c:idx val="1"/>
              <c:layout>
                <c:manualLayout>
                  <c:x val="9.2592592592592587E-3"/>
                  <c:y val="-7.9455896034149771E-3"/>
                </c:manualLayout>
              </c:layout>
              <c:showLegendKey val="0"/>
              <c:showVal val="1"/>
              <c:showCatName val="0"/>
              <c:showSerName val="0"/>
              <c:showPercent val="0"/>
              <c:showBubbleSize val="0"/>
            </c:dLbl>
            <c:dLbl>
              <c:idx val="2"/>
              <c:layout>
                <c:manualLayout>
                  <c:x val="2.3148148148147301E-3"/>
                  <c:y val="-1.9863974008537479E-2"/>
                </c:manualLayout>
              </c:layout>
              <c:showLegendKey val="0"/>
              <c:showVal val="1"/>
              <c:showCatName val="0"/>
              <c:showSerName val="0"/>
              <c:showPercent val="0"/>
              <c:showBubbleSize val="0"/>
            </c:dLbl>
            <c:dLbl>
              <c:idx val="3"/>
              <c:layout>
                <c:manualLayout>
                  <c:x val="1.1574074074074073E-2"/>
                  <c:y val="-1.5891179206829954E-2"/>
                </c:manualLayout>
              </c:layout>
              <c:showLegendKey val="0"/>
              <c:showVal val="1"/>
              <c:showCatName val="0"/>
              <c:showSerName val="0"/>
              <c:showPercent val="0"/>
              <c:showBubbleSize val="0"/>
            </c:dLbl>
            <c:dLbl>
              <c:idx val="4"/>
              <c:layout>
                <c:manualLayout>
                  <c:x val="9.2592592592592587E-3"/>
                  <c:y val="-1.5891179206830027E-2"/>
                </c:manualLayout>
              </c:layout>
              <c:showLegendKey val="0"/>
              <c:showVal val="1"/>
              <c:showCatName val="0"/>
              <c:showSerName val="0"/>
              <c:showPercent val="0"/>
              <c:showBubbleSize val="0"/>
            </c:dLbl>
            <c:txPr>
              <a:bodyPr/>
              <a:lstStyle/>
              <a:p>
                <a:pPr>
                  <a:defRPr b="1"/>
                </a:pPr>
                <a:endParaRPr lang="tr-TR"/>
              </a:p>
            </c:txPr>
            <c:showLegendKey val="0"/>
            <c:showVal val="1"/>
            <c:showCatName val="0"/>
            <c:showSerName val="0"/>
            <c:showPercent val="0"/>
            <c:showBubbleSize val="0"/>
            <c:showLeaderLines val="0"/>
          </c:dLbls>
          <c:cat>
            <c:strRef>
              <c:f>Sayfa1!$A$2:$A$6</c:f>
              <c:strCache>
                <c:ptCount val="5"/>
                <c:pt idx="0">
                  <c:v>FRANSA</c:v>
                </c:pt>
                <c:pt idx="1">
                  <c:v>İSPANYA</c:v>
                </c:pt>
                <c:pt idx="2">
                  <c:v>İTALYA</c:v>
                </c:pt>
                <c:pt idx="3">
                  <c:v>ALMANYA</c:v>
                </c:pt>
                <c:pt idx="4">
                  <c:v>İNGİLTERE</c:v>
                </c:pt>
              </c:strCache>
            </c:strRef>
          </c:cat>
          <c:val>
            <c:numRef>
              <c:f>Sayfa1!$B$2:$B$6</c:f>
              <c:numCache>
                <c:formatCode>General</c:formatCode>
                <c:ptCount val="5"/>
                <c:pt idx="0">
                  <c:v>405</c:v>
                </c:pt>
                <c:pt idx="1">
                  <c:v>387</c:v>
                </c:pt>
                <c:pt idx="2">
                  <c:v>363</c:v>
                </c:pt>
                <c:pt idx="3">
                  <c:v>355</c:v>
                </c:pt>
                <c:pt idx="4">
                  <c:v>320</c:v>
                </c:pt>
              </c:numCache>
            </c:numRef>
          </c:val>
        </c:ser>
        <c:dLbls>
          <c:showLegendKey val="0"/>
          <c:showVal val="0"/>
          <c:showCatName val="0"/>
          <c:showSerName val="0"/>
          <c:showPercent val="0"/>
          <c:showBubbleSize val="0"/>
        </c:dLbls>
        <c:gapWidth val="150"/>
        <c:shape val="box"/>
        <c:axId val="75255808"/>
        <c:axId val="126766464"/>
        <c:axId val="0"/>
      </c:bar3DChart>
      <c:catAx>
        <c:axId val="75255808"/>
        <c:scaling>
          <c:orientation val="minMax"/>
        </c:scaling>
        <c:delete val="0"/>
        <c:axPos val="b"/>
        <c:majorTickMark val="out"/>
        <c:minorTickMark val="none"/>
        <c:tickLblPos val="nextTo"/>
        <c:crossAx val="126766464"/>
        <c:crosses val="autoZero"/>
        <c:auto val="1"/>
        <c:lblAlgn val="ctr"/>
        <c:lblOffset val="100"/>
        <c:noMultiLvlLbl val="0"/>
      </c:catAx>
      <c:valAx>
        <c:axId val="126766464"/>
        <c:scaling>
          <c:orientation val="minMax"/>
        </c:scaling>
        <c:delete val="0"/>
        <c:axPos val="l"/>
        <c:majorGridlines/>
        <c:numFmt formatCode="General" sourceLinked="1"/>
        <c:majorTickMark val="out"/>
        <c:minorTickMark val="none"/>
        <c:tickLblPos val="nextTo"/>
        <c:crossAx val="75255808"/>
        <c:crosses val="autoZero"/>
        <c:crossBetween val="between"/>
      </c:valAx>
    </c:plotArea>
    <c:plotVisOnly val="1"/>
    <c:dispBlanksAs val="gap"/>
    <c:showDLblsOverMax val="0"/>
  </c:chart>
  <c:spPr>
    <a:effectLst>
      <a:innerShdw blurRad="63500" dist="50800" dir="18900000">
        <a:prstClr val="black">
          <a:alpha val="50000"/>
        </a:prstClr>
      </a:inn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İTALYA'DAKİ </a:t>
            </a:r>
            <a:r>
              <a:rPr lang="tr-TR" sz="1400"/>
              <a:t>TURİSTİK TESİSLERDE GERÇEKLEŞEN </a:t>
            </a:r>
            <a:r>
              <a:rPr lang="en-US" sz="1400"/>
              <a:t>GECELEME SAYI</a:t>
            </a:r>
            <a:r>
              <a:rPr lang="tr-TR" sz="1400"/>
              <a:t>SININ</a:t>
            </a:r>
            <a:r>
              <a:rPr lang="en-US" sz="1400"/>
              <a:t> DAĞILIM</a:t>
            </a:r>
            <a:r>
              <a:rPr lang="tr-TR" sz="1400"/>
              <a:t>I</a:t>
            </a:r>
            <a:endParaRPr lang="en-US" sz="1400"/>
          </a:p>
        </c:rich>
      </c:tx>
      <c:layout>
        <c:manualLayout>
          <c:xMode val="edge"/>
          <c:yMode val="edge"/>
          <c:x val="0.18473953776611254"/>
          <c:y val="6.7460317460317457E-2"/>
        </c:manualLayout>
      </c:layout>
      <c:overlay val="0"/>
    </c:title>
    <c:autoTitleDeleted val="0"/>
    <c:view3D>
      <c:rotX val="30"/>
      <c:rotY val="40"/>
      <c:rAngAx val="0"/>
      <c:perspective val="30"/>
    </c:view3D>
    <c:floor>
      <c:thickness val="0"/>
    </c:floor>
    <c:sideWall>
      <c:thickness val="0"/>
    </c:sideWall>
    <c:backWall>
      <c:thickness val="0"/>
    </c:backWall>
    <c:plotArea>
      <c:layout/>
      <c:pie3DChart>
        <c:varyColors val="1"/>
        <c:ser>
          <c:idx val="0"/>
          <c:order val="0"/>
          <c:tx>
            <c:strRef>
              <c:f>Sayfa1!$B$1</c:f>
              <c:strCache>
                <c:ptCount val="1"/>
                <c:pt idx="0">
                  <c:v>İTALYA'DAKİ GECELEME SAYILARINDA DAĞILIM</c:v>
                </c:pt>
              </c:strCache>
            </c:strRef>
          </c:tx>
          <c:explosion val="25"/>
          <c:dPt>
            <c:idx val="1"/>
            <c:bubble3D val="0"/>
            <c:explosion val="12"/>
          </c:dPt>
          <c:dLbls>
            <c:dLbl>
              <c:idx val="0"/>
              <c:tx>
                <c:rich>
                  <a:bodyPr/>
                  <a:lstStyle/>
                  <a:p>
                    <a:r>
                      <a:rPr lang="en-US"/>
                      <a:t>İTALYA VATANDAŞLARI; 51%</a:t>
                    </a:r>
                  </a:p>
                </c:rich>
              </c:tx>
              <c:showLegendKey val="0"/>
              <c:showVal val="1"/>
              <c:showCatName val="1"/>
              <c:showSerName val="0"/>
              <c:showPercent val="1"/>
              <c:showBubbleSize val="0"/>
            </c:dLbl>
            <c:dLbl>
              <c:idx val="1"/>
              <c:tx>
                <c:rich>
                  <a:bodyPr/>
                  <a:lstStyle/>
                  <a:p>
                    <a:r>
                      <a:rPr lang="en-US"/>
                      <a:t>YABANCI ZİYARETÇİLER; 49%</a:t>
                    </a:r>
                  </a:p>
                </c:rich>
              </c:tx>
              <c:showLegendKey val="0"/>
              <c:showVal val="1"/>
              <c:showCatName val="1"/>
              <c:showSerName val="0"/>
              <c:showPercent val="1"/>
              <c:showBubbleSize val="0"/>
            </c:dLbl>
            <c:txPr>
              <a:bodyPr/>
              <a:lstStyle/>
              <a:p>
                <a:pPr>
                  <a:defRPr b="1"/>
                </a:pPr>
                <a:endParaRPr lang="tr-TR"/>
              </a:p>
            </c:txPr>
            <c:showLegendKey val="0"/>
            <c:showVal val="1"/>
            <c:showCatName val="1"/>
            <c:showSerName val="0"/>
            <c:showPercent val="1"/>
            <c:showBubbleSize val="0"/>
            <c:showLeaderLines val="1"/>
          </c:dLbls>
          <c:cat>
            <c:strRef>
              <c:f>Sayfa1!$A$2:$A$3</c:f>
              <c:strCache>
                <c:ptCount val="2"/>
                <c:pt idx="0">
                  <c:v>İTALYAN VATANDAŞLARI</c:v>
                </c:pt>
                <c:pt idx="1">
                  <c:v>YABANCI ZİYARETÇİLER</c:v>
                </c:pt>
              </c:strCache>
            </c:strRef>
          </c:cat>
          <c:val>
            <c:numRef>
              <c:f>Sayfa1!$B$2:$B$3</c:f>
              <c:numCache>
                <c:formatCode>General</c:formatCode>
                <c:ptCount val="2"/>
                <c:pt idx="0">
                  <c:v>183.4</c:v>
                </c:pt>
                <c:pt idx="1">
                  <c:v>179.6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İTALYA’YA </a:t>
            </a:r>
            <a:r>
              <a:rPr lang="tr-TR" sz="1400"/>
              <a:t>EN ÇOK TURİST GÖNDEREN ÜLKELER</a:t>
            </a:r>
            <a:endParaRPr lang="en-US" sz="1400"/>
          </a:p>
        </c:rich>
      </c:tx>
      <c:layout>
        <c:manualLayout>
          <c:xMode val="edge"/>
          <c:yMode val="edge"/>
          <c:x val="0.14534722222222221"/>
          <c:y val="5.328526637880543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Sayfa1!$B$1</c:f>
              <c:strCache>
                <c:ptCount val="1"/>
                <c:pt idx="0">
                  <c:v>İTALYA’YA GİDEN TURİSTLERİN  ÜLKELERE GÖRE DAĞILIMI
</c:v>
                </c:pt>
              </c:strCache>
            </c:strRef>
          </c:tx>
          <c:explosion val="25"/>
          <c:dLbls>
            <c:dLbl>
              <c:idx val="0"/>
              <c:tx>
                <c:rich>
                  <a:bodyPr/>
                  <a:lstStyle/>
                  <a:p>
                    <a:r>
                      <a:rPr lang="en-US"/>
                      <a:t>ALMANYA
</a:t>
                    </a:r>
                    <a:r>
                      <a:rPr lang="tr-TR"/>
                      <a:t>20,9</a:t>
                    </a:r>
                    <a:r>
                      <a:rPr lang="en-US"/>
                      <a:t>%</a:t>
                    </a:r>
                  </a:p>
                </c:rich>
              </c:tx>
              <c:showLegendKey val="0"/>
              <c:showVal val="0"/>
              <c:showCatName val="1"/>
              <c:showSerName val="0"/>
              <c:showPercent val="1"/>
              <c:showBubbleSize val="0"/>
            </c:dLbl>
            <c:dLbl>
              <c:idx val="1"/>
              <c:tx>
                <c:rich>
                  <a:bodyPr/>
                  <a:lstStyle/>
                  <a:p>
                    <a:r>
                      <a:rPr lang="en-US"/>
                      <a:t>ABD
</a:t>
                    </a:r>
                    <a:r>
                      <a:rPr lang="tr-TR"/>
                      <a:t>9,</a:t>
                    </a:r>
                    <a:r>
                      <a:rPr lang="en-US"/>
                      <a:t>4%</a:t>
                    </a:r>
                  </a:p>
                </c:rich>
              </c:tx>
              <c:showLegendKey val="0"/>
              <c:showVal val="0"/>
              <c:showCatName val="1"/>
              <c:showSerName val="0"/>
              <c:showPercent val="1"/>
              <c:showBubbleSize val="0"/>
            </c:dLbl>
            <c:dLbl>
              <c:idx val="2"/>
              <c:tx>
                <c:rich>
                  <a:bodyPr/>
                  <a:lstStyle/>
                  <a:p>
                    <a:r>
                      <a:rPr lang="en-US"/>
                      <a:t>FRANSA
</a:t>
                    </a:r>
                    <a:r>
                      <a:rPr lang="tr-TR"/>
                      <a:t>7,6</a:t>
                    </a:r>
                    <a:r>
                      <a:rPr lang="en-US"/>
                      <a:t>%</a:t>
                    </a:r>
                  </a:p>
                </c:rich>
              </c:tx>
              <c:showLegendKey val="0"/>
              <c:showVal val="0"/>
              <c:showCatName val="1"/>
              <c:showSerName val="0"/>
              <c:showPercent val="1"/>
              <c:showBubbleSize val="0"/>
            </c:dLbl>
            <c:dLbl>
              <c:idx val="3"/>
              <c:tx>
                <c:rich>
                  <a:bodyPr/>
                  <a:lstStyle/>
                  <a:p>
                    <a:r>
                      <a:rPr lang="en-US"/>
                      <a:t>HOLLANDA
</a:t>
                    </a:r>
                    <a:r>
                      <a:rPr lang="tr-TR"/>
                      <a:t>4</a:t>
                    </a:r>
                    <a:r>
                      <a:rPr lang="en-US"/>
                      <a:t>%</a:t>
                    </a:r>
                  </a:p>
                </c:rich>
              </c:tx>
              <c:showLegendKey val="0"/>
              <c:showVal val="0"/>
              <c:showCatName val="1"/>
              <c:showSerName val="0"/>
              <c:showPercent val="1"/>
              <c:showBubbleSize val="0"/>
            </c:dLbl>
            <c:dLbl>
              <c:idx val="4"/>
              <c:tx>
                <c:rich>
                  <a:bodyPr/>
                  <a:lstStyle/>
                  <a:p>
                    <a:r>
                      <a:rPr lang="en-US"/>
                      <a:t>BİRLEŞİK KRALLIK
</a:t>
                    </a:r>
                    <a:r>
                      <a:rPr lang="tr-TR"/>
                      <a:t>5,9</a:t>
                    </a:r>
                    <a:r>
                      <a:rPr lang="en-US"/>
                      <a:t>%</a:t>
                    </a:r>
                  </a:p>
                </c:rich>
              </c:tx>
              <c:showLegendKey val="0"/>
              <c:showVal val="0"/>
              <c:showCatName val="1"/>
              <c:showSerName val="0"/>
              <c:showPercent val="1"/>
              <c:showBubbleSize val="0"/>
            </c:dLbl>
            <c:dLbl>
              <c:idx val="5"/>
              <c:tx>
                <c:rich>
                  <a:bodyPr/>
                  <a:lstStyle/>
                  <a:p>
                    <a:r>
                      <a:rPr lang="en-US"/>
                      <a:t>İSVİÇRE
4</a:t>
                    </a:r>
                    <a:r>
                      <a:rPr lang="tr-TR"/>
                      <a:t>,4</a:t>
                    </a:r>
                    <a:r>
                      <a:rPr lang="en-US"/>
                      <a:t>%</a:t>
                    </a:r>
                  </a:p>
                </c:rich>
              </c:tx>
              <c:showLegendKey val="0"/>
              <c:showVal val="0"/>
              <c:showCatName val="1"/>
              <c:showSerName val="0"/>
              <c:showPercent val="1"/>
              <c:showBubbleSize val="0"/>
            </c:dLbl>
            <c:dLbl>
              <c:idx val="6"/>
              <c:tx>
                <c:rich>
                  <a:bodyPr/>
                  <a:lstStyle/>
                  <a:p>
                    <a:r>
                      <a:rPr lang="en-US"/>
                      <a:t>AVUSTURYA
4</a:t>
                    </a:r>
                    <a:r>
                      <a:rPr lang="tr-TR"/>
                      <a:t>,3</a:t>
                    </a:r>
                    <a:r>
                      <a:rPr lang="en-US"/>
                      <a:t>%</a:t>
                    </a:r>
                  </a:p>
                </c:rich>
              </c:tx>
              <c:showLegendKey val="0"/>
              <c:showVal val="0"/>
              <c:showCatName val="1"/>
              <c:showSerName val="0"/>
              <c:showPercent val="1"/>
              <c:showBubbleSize val="0"/>
            </c:dLbl>
            <c:dLbl>
              <c:idx val="7"/>
              <c:tx>
                <c:rich>
                  <a:bodyPr/>
                  <a:lstStyle/>
                  <a:p>
                    <a:r>
                      <a:rPr lang="en-US"/>
                      <a:t>RUSYA
</a:t>
                    </a:r>
                    <a:r>
                      <a:rPr lang="tr-TR"/>
                      <a:t>3,5</a:t>
                    </a:r>
                    <a:r>
                      <a:rPr lang="en-US"/>
                      <a:t>%</a:t>
                    </a:r>
                  </a:p>
                </c:rich>
              </c:tx>
              <c:showLegendKey val="0"/>
              <c:showVal val="0"/>
              <c:showCatName val="1"/>
              <c:showSerName val="0"/>
              <c:showPercent val="1"/>
              <c:showBubbleSize val="0"/>
            </c:dLbl>
            <c:dLbl>
              <c:idx val="8"/>
              <c:tx>
                <c:rich>
                  <a:bodyPr/>
                  <a:lstStyle/>
                  <a:p>
                    <a:r>
                      <a:rPr lang="en-US"/>
                      <a:t>BELÇİKA
2</a:t>
                    </a:r>
                    <a:r>
                      <a:rPr lang="tr-TR"/>
                      <a:t>,3</a:t>
                    </a:r>
                    <a:r>
                      <a:rPr lang="en-US"/>
                      <a:t>%</a:t>
                    </a:r>
                  </a:p>
                </c:rich>
              </c:tx>
              <c:showLegendKey val="0"/>
              <c:showVal val="0"/>
              <c:showCatName val="1"/>
              <c:showSerName val="0"/>
              <c:showPercent val="1"/>
              <c:showBubbleSize val="0"/>
            </c:dLbl>
            <c:dLbl>
              <c:idx val="9"/>
              <c:layout>
                <c:manualLayout>
                  <c:x val="-1.1180373286672497E-2"/>
                  <c:y val="-6.7060687986720088E-2"/>
                </c:manualLayout>
              </c:layout>
              <c:tx>
                <c:rich>
                  <a:bodyPr/>
                  <a:lstStyle/>
                  <a:p>
                    <a:r>
                      <a:rPr lang="en-US"/>
                      <a:t>İSPANYA
</a:t>
                    </a:r>
                    <a:r>
                      <a:rPr lang="tr-TR"/>
                      <a:t>3,5</a:t>
                    </a:r>
                    <a:r>
                      <a:rPr lang="en-US"/>
                      <a:t>%</a:t>
                    </a:r>
                  </a:p>
                </c:rich>
              </c:tx>
              <c:showLegendKey val="0"/>
              <c:showVal val="0"/>
              <c:showCatName val="1"/>
              <c:showSerName val="0"/>
              <c:showPercent val="1"/>
              <c:showBubbleSize val="0"/>
            </c:dLbl>
            <c:dLbl>
              <c:idx val="10"/>
              <c:layout>
                <c:manualLayout>
                  <c:x val="1.3096201516477108E-2"/>
                  <c:y val="-9.9373995878822508E-2"/>
                </c:manualLayout>
              </c:layout>
              <c:tx>
                <c:rich>
                  <a:bodyPr/>
                  <a:lstStyle/>
                  <a:p>
                    <a:r>
                      <a:rPr lang="en-US"/>
                      <a:t>DİĞER</a:t>
                    </a:r>
                    <a:r>
                      <a:rPr lang="tr-TR"/>
                      <a:t> AB</a:t>
                    </a:r>
                    <a:r>
                      <a:rPr lang="tr-TR" baseline="0"/>
                      <a:t> ÜLK.</a:t>
                    </a:r>
                    <a:r>
                      <a:rPr lang="en-US"/>
                      <a:t>
</a:t>
                    </a:r>
                    <a:r>
                      <a:rPr lang="tr-TR"/>
                      <a:t>11,5</a:t>
                    </a:r>
                    <a:r>
                      <a:rPr lang="en-US"/>
                      <a:t>%</a:t>
                    </a:r>
                  </a:p>
                </c:rich>
              </c:tx>
              <c:showLegendKey val="0"/>
              <c:showVal val="0"/>
              <c:showCatName val="1"/>
              <c:showSerName val="0"/>
              <c:showPercent val="1"/>
              <c:showBubbleSize val="0"/>
            </c:dLbl>
            <c:dLbl>
              <c:idx val="11"/>
              <c:tx>
                <c:rich>
                  <a:bodyPr/>
                  <a:lstStyle/>
                  <a:p>
                    <a:r>
                      <a:rPr lang="en-US"/>
                      <a:t>DİĞER
2</a:t>
                    </a:r>
                    <a:r>
                      <a:rPr lang="tr-TR"/>
                      <a:t>2,7</a:t>
                    </a:r>
                    <a:r>
                      <a:rPr lang="en-US"/>
                      <a:t>%</a:t>
                    </a:r>
                  </a:p>
                </c:rich>
              </c:tx>
              <c:showLegendKey val="0"/>
              <c:showVal val="0"/>
              <c:showCatName val="1"/>
              <c:showSerName val="0"/>
              <c:showPercent val="1"/>
              <c:showBubbleSize val="0"/>
            </c:dLbl>
            <c:txPr>
              <a:bodyPr/>
              <a:lstStyle/>
              <a:p>
                <a:pPr>
                  <a:defRPr b="1"/>
                </a:pPr>
                <a:endParaRPr lang="tr-TR"/>
              </a:p>
            </c:txPr>
            <c:showLegendKey val="0"/>
            <c:showVal val="0"/>
            <c:showCatName val="1"/>
            <c:showSerName val="0"/>
            <c:showPercent val="1"/>
            <c:showBubbleSize val="0"/>
            <c:showLeaderLines val="1"/>
          </c:dLbls>
          <c:cat>
            <c:strRef>
              <c:f>Sayfa1!$A$2:$A$13</c:f>
              <c:strCache>
                <c:ptCount val="12"/>
                <c:pt idx="0">
                  <c:v>ALMANYA</c:v>
                </c:pt>
                <c:pt idx="1">
                  <c:v>ABD</c:v>
                </c:pt>
                <c:pt idx="2">
                  <c:v>FRANSA</c:v>
                </c:pt>
                <c:pt idx="3">
                  <c:v>HOLLANDA</c:v>
                </c:pt>
                <c:pt idx="4">
                  <c:v>BİRLEŞİK KRALLIK</c:v>
                </c:pt>
                <c:pt idx="5">
                  <c:v>İSVİÇRE</c:v>
                </c:pt>
                <c:pt idx="6">
                  <c:v>AVUSTURYA</c:v>
                </c:pt>
                <c:pt idx="7">
                  <c:v>RUSYA</c:v>
                </c:pt>
                <c:pt idx="8">
                  <c:v>BELÇİKA</c:v>
                </c:pt>
                <c:pt idx="9">
                  <c:v>İSPANYA</c:v>
                </c:pt>
                <c:pt idx="10">
                  <c:v>AB DİĞER</c:v>
                </c:pt>
                <c:pt idx="11">
                  <c:v>DİĞER</c:v>
                </c:pt>
              </c:strCache>
            </c:strRef>
          </c:cat>
          <c:val>
            <c:numRef>
              <c:f>Sayfa1!$B$2:$B$13</c:f>
              <c:numCache>
                <c:formatCode>General</c:formatCode>
                <c:ptCount val="12"/>
                <c:pt idx="0">
                  <c:v>20.9</c:v>
                </c:pt>
                <c:pt idx="1">
                  <c:v>9.4</c:v>
                </c:pt>
                <c:pt idx="2">
                  <c:v>7.6</c:v>
                </c:pt>
                <c:pt idx="3">
                  <c:v>4</c:v>
                </c:pt>
                <c:pt idx="4">
                  <c:v>5.9</c:v>
                </c:pt>
                <c:pt idx="5">
                  <c:v>4.4000000000000004</c:v>
                </c:pt>
                <c:pt idx="6">
                  <c:v>4.3</c:v>
                </c:pt>
                <c:pt idx="7">
                  <c:v>3.5</c:v>
                </c:pt>
                <c:pt idx="8">
                  <c:v>2.2999999999999998</c:v>
                </c:pt>
                <c:pt idx="9">
                  <c:v>3.5</c:v>
                </c:pt>
                <c:pt idx="10">
                  <c:v>11.5</c:v>
                </c:pt>
                <c:pt idx="11">
                  <c:v>22.7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8571795713035875"/>
          <c:y val="0.19474860600706467"/>
          <c:w val="0.20039315398075241"/>
          <c:h val="0.70620326389877031"/>
        </c:manualLayout>
      </c:layout>
      <c:overlay val="0"/>
    </c:legend>
    <c:plotVisOnly val="1"/>
    <c:dispBlanksAs val="gap"/>
    <c:showDLblsOverMax val="0"/>
  </c:chart>
  <c:spPr>
    <a:effectLst>
      <a:innerShdw blurRad="63500" dist="50800" dir="18900000">
        <a:prstClr val="black">
          <a:alpha val="50000"/>
        </a:prstClr>
      </a:inn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TÜRKİYE'YE GELEN İTALYAN TURİSTİN YILLARA GÖRE DEĞİŞİMİ</c:v>
                </c:pt>
              </c:strCache>
            </c:strRef>
          </c:tx>
          <c:invertIfNegative val="0"/>
          <c:dLbls>
            <c:txPr>
              <a:bodyPr/>
              <a:lstStyle/>
              <a:p>
                <a:pPr>
                  <a:defRPr b="1">
                    <a:solidFill>
                      <a:schemeClr val="tx1">
                        <a:lumMod val="95000"/>
                        <a:lumOff val="5000"/>
                      </a:schemeClr>
                    </a:solidFill>
                  </a:defRPr>
                </a:pPr>
                <a:endParaRPr lang="tr-TR"/>
              </a:p>
            </c:txPr>
            <c:showLegendKey val="0"/>
            <c:showVal val="1"/>
            <c:showCatName val="0"/>
            <c:showSerName val="0"/>
            <c:showPercent val="0"/>
            <c:showBubbleSize val="0"/>
            <c:showLeaderLines val="0"/>
          </c:dLbls>
          <c:cat>
            <c:numRef>
              <c:f>Sayfa1!$A$2:$A$8</c:f>
              <c:numCache>
                <c:formatCode>General</c:formatCode>
                <c:ptCount val="7"/>
                <c:pt idx="0">
                  <c:v>2007</c:v>
                </c:pt>
                <c:pt idx="1">
                  <c:v>2008</c:v>
                </c:pt>
                <c:pt idx="2">
                  <c:v>2009</c:v>
                </c:pt>
                <c:pt idx="3">
                  <c:v>2010</c:v>
                </c:pt>
                <c:pt idx="4">
                  <c:v>2011</c:v>
                </c:pt>
                <c:pt idx="5">
                  <c:v>2012</c:v>
                </c:pt>
                <c:pt idx="6">
                  <c:v>2013</c:v>
                </c:pt>
              </c:numCache>
            </c:numRef>
          </c:cat>
          <c:val>
            <c:numRef>
              <c:f>Sayfa1!$B$2:$B$8</c:f>
              <c:numCache>
                <c:formatCode>General</c:formatCode>
                <c:ptCount val="7"/>
                <c:pt idx="0">
                  <c:v>514803</c:v>
                </c:pt>
                <c:pt idx="1">
                  <c:v>600261</c:v>
                </c:pt>
                <c:pt idx="2">
                  <c:v>634886</c:v>
                </c:pt>
                <c:pt idx="3">
                  <c:v>671060</c:v>
                </c:pt>
                <c:pt idx="4">
                  <c:v>752238</c:v>
                </c:pt>
                <c:pt idx="5">
                  <c:v>714041</c:v>
                </c:pt>
                <c:pt idx="6">
                  <c:v>731784</c:v>
                </c:pt>
              </c:numCache>
            </c:numRef>
          </c:val>
        </c:ser>
        <c:dLbls>
          <c:showLegendKey val="0"/>
          <c:showVal val="0"/>
          <c:showCatName val="0"/>
          <c:showSerName val="0"/>
          <c:showPercent val="0"/>
          <c:showBubbleSize val="0"/>
        </c:dLbls>
        <c:gapWidth val="150"/>
        <c:shape val="box"/>
        <c:axId val="182161920"/>
        <c:axId val="126769344"/>
        <c:axId val="0"/>
      </c:bar3DChart>
      <c:catAx>
        <c:axId val="182161920"/>
        <c:scaling>
          <c:orientation val="minMax"/>
        </c:scaling>
        <c:delete val="0"/>
        <c:axPos val="b"/>
        <c:numFmt formatCode="General" sourceLinked="1"/>
        <c:majorTickMark val="out"/>
        <c:minorTickMark val="none"/>
        <c:tickLblPos val="nextTo"/>
        <c:crossAx val="126769344"/>
        <c:crosses val="autoZero"/>
        <c:auto val="1"/>
        <c:lblAlgn val="ctr"/>
        <c:lblOffset val="100"/>
        <c:noMultiLvlLbl val="0"/>
      </c:catAx>
      <c:valAx>
        <c:axId val="126769344"/>
        <c:scaling>
          <c:orientation val="minMax"/>
        </c:scaling>
        <c:delete val="0"/>
        <c:axPos val="l"/>
        <c:majorGridlines/>
        <c:numFmt formatCode="General" sourceLinked="1"/>
        <c:majorTickMark val="out"/>
        <c:minorTickMark val="none"/>
        <c:tickLblPos val="nextTo"/>
        <c:crossAx val="182161920"/>
        <c:crosses val="autoZero"/>
        <c:crossBetween val="between"/>
      </c:valAx>
    </c:plotArea>
    <c:plotVisOnly val="1"/>
    <c:dispBlanksAs val="gap"/>
    <c:showDLblsOverMax val="0"/>
  </c:chart>
  <c:spPr>
    <a:effectLst>
      <a:outerShdw blurRad="50800" dist="38100" dir="2700000" sx="102000" sy="102000" algn="tl" rotWithShape="0">
        <a:prstClr val="black">
          <a:alpha val="40000"/>
        </a:prstClr>
      </a:outerShd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54108340624089"/>
          <c:y val="0"/>
        </c:manualLayout>
      </c:layout>
      <c:overlay val="0"/>
      <c:txPr>
        <a:bodyPr/>
        <a:lstStyle/>
        <a:p>
          <a:pPr>
            <a:defRPr sz="1600"/>
          </a:pPr>
          <a:endParaRPr lang="tr-TR"/>
        </a:p>
      </c:tx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Sayfa1!$B$1</c:f>
              <c:strCache>
                <c:ptCount val="1"/>
                <c:pt idx="0">
                  <c:v>İTALYA VATANDAŞLARININ TÜRKİYE'DE TERCİH ETTİĞİ DESTİNASYONLAR</c:v>
                </c:pt>
              </c:strCache>
            </c:strRef>
          </c:tx>
          <c:explosion val="25"/>
          <c:dLbls>
            <c:txPr>
              <a:bodyPr/>
              <a:lstStyle/>
              <a:p>
                <a:pPr>
                  <a:defRPr b="1"/>
                </a:pPr>
                <a:endParaRPr lang="tr-TR"/>
              </a:p>
            </c:txPr>
            <c:showLegendKey val="0"/>
            <c:showVal val="0"/>
            <c:showCatName val="1"/>
            <c:showSerName val="0"/>
            <c:showPercent val="1"/>
            <c:showBubbleSize val="0"/>
            <c:showLeaderLines val="1"/>
          </c:dLbls>
          <c:cat>
            <c:strRef>
              <c:f>Sayfa1!$A$2:$A$6</c:f>
              <c:strCache>
                <c:ptCount val="5"/>
                <c:pt idx="0">
                  <c:v>İSTANBUL / KAPADOKYA</c:v>
                </c:pt>
                <c:pt idx="1">
                  <c:v>İZMİR</c:v>
                </c:pt>
                <c:pt idx="2">
                  <c:v>MUĞLA</c:v>
                </c:pt>
                <c:pt idx="3">
                  <c:v>ANTALYA</c:v>
                </c:pt>
                <c:pt idx="4">
                  <c:v>DİĞER</c:v>
                </c:pt>
              </c:strCache>
            </c:strRef>
          </c:cat>
          <c:val>
            <c:numRef>
              <c:f>Sayfa1!$B$2:$B$6</c:f>
              <c:numCache>
                <c:formatCode>0%</c:formatCode>
                <c:ptCount val="5"/>
                <c:pt idx="0">
                  <c:v>0.55000000000000004</c:v>
                </c:pt>
                <c:pt idx="1">
                  <c:v>0.21</c:v>
                </c:pt>
                <c:pt idx="2">
                  <c:v>0.11</c:v>
                </c:pt>
                <c:pt idx="3">
                  <c:v>0.08</c:v>
                </c:pt>
                <c:pt idx="4">
                  <c:v>0.05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7130814377369517"/>
          <c:y val="0.19071584801899763"/>
          <c:w val="0.21248815252260134"/>
          <c:h val="0.75725846769153859"/>
        </c:manualLayout>
      </c:layout>
      <c:overlay val="0"/>
      <c:txPr>
        <a:bodyPr/>
        <a:lstStyle/>
        <a:p>
          <a:pPr>
            <a:defRPr b="1"/>
          </a:pPr>
          <a:endParaRPr lang="tr-TR"/>
        </a:p>
      </c:txPr>
    </c:legend>
    <c:plotVisOnly val="1"/>
    <c:dispBlanksAs val="gap"/>
    <c:showDLblsOverMax val="0"/>
  </c:chart>
  <c:externalData r:id="rId1">
    <c:autoUpdate val="0"/>
  </c:externalData>
</c:chartSpace>
</file>

<file path=word/diagrams/_rels/data1.xml.rels><?xml version="1.0" encoding="UTF-8" standalone="yes"?>
<Relationships xmlns="http://schemas.openxmlformats.org/package/2006/relationships"><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59B13C-E4EE-4331-BEBD-FCD2B72C54D1}" type="doc">
      <dgm:prSet loTypeId="urn:microsoft.com/office/officeart/2005/8/layout/hList7" loCatId="list" qsTypeId="urn:microsoft.com/office/officeart/2005/8/quickstyle/simple5" qsCatId="simple" csTypeId="urn:microsoft.com/office/officeart/2005/8/colors/accent1_2" csCatId="accent1" phldr="1"/>
      <dgm:spPr/>
      <dgm:t>
        <a:bodyPr/>
        <a:lstStyle/>
        <a:p>
          <a:endParaRPr lang="tr-TR"/>
        </a:p>
      </dgm:t>
    </dgm:pt>
    <dgm:pt modelId="{3B7F1E7F-BFB2-4923-9792-2EDB21E46BF7}">
      <dgm:prSet phldrT="[Metin]"/>
      <dgm:spPr/>
      <dgm:t>
        <a:bodyPr/>
        <a:lstStyle/>
        <a:p>
          <a:r>
            <a:rPr lang="tr-TR"/>
            <a:t>2004</a:t>
          </a:r>
        </a:p>
        <a:p>
          <a:r>
            <a:rPr lang="tr-TR"/>
            <a:t>35,7 milyar</a:t>
          </a:r>
        </a:p>
      </dgm:t>
    </dgm:pt>
    <dgm:pt modelId="{301686D0-71DE-4729-9CA4-4FB6292556FD}" type="parTrans" cxnId="{264E54B3-CFC0-4347-8A3B-F238213A0441}">
      <dgm:prSet/>
      <dgm:spPr/>
      <dgm:t>
        <a:bodyPr/>
        <a:lstStyle/>
        <a:p>
          <a:endParaRPr lang="tr-TR"/>
        </a:p>
      </dgm:t>
    </dgm:pt>
    <dgm:pt modelId="{147050FE-7E52-45F6-81C8-E67F01BE9AAF}" type="sibTrans" cxnId="{264E54B3-CFC0-4347-8A3B-F238213A0441}">
      <dgm:prSet/>
      <dgm:spPr/>
      <dgm:t>
        <a:bodyPr/>
        <a:lstStyle/>
        <a:p>
          <a:endParaRPr lang="tr-TR"/>
        </a:p>
      </dgm:t>
    </dgm:pt>
    <dgm:pt modelId="{3EB6C1AB-F4F3-4EDC-9C34-6304B961A2FD}">
      <dgm:prSet phldrT="[Metin]"/>
      <dgm:spPr/>
      <dgm:t>
        <a:bodyPr/>
        <a:lstStyle/>
        <a:p>
          <a:r>
            <a:rPr lang="tr-TR"/>
            <a:t>2009</a:t>
          </a:r>
        </a:p>
        <a:p>
          <a:r>
            <a:rPr lang="tr-TR"/>
            <a:t>40,2 milyar</a:t>
          </a:r>
        </a:p>
      </dgm:t>
    </dgm:pt>
    <dgm:pt modelId="{2CB4790D-B296-4C57-A5FB-6BA6D5B3B76D}" type="parTrans" cxnId="{1AEA6142-4DBE-4AED-814B-1C36C3223F26}">
      <dgm:prSet/>
      <dgm:spPr/>
      <dgm:t>
        <a:bodyPr/>
        <a:lstStyle/>
        <a:p>
          <a:endParaRPr lang="tr-TR"/>
        </a:p>
      </dgm:t>
    </dgm:pt>
    <dgm:pt modelId="{9A38E07B-9938-4A6E-90D2-E74D23D1240D}" type="sibTrans" cxnId="{1AEA6142-4DBE-4AED-814B-1C36C3223F26}">
      <dgm:prSet/>
      <dgm:spPr/>
      <dgm:t>
        <a:bodyPr/>
        <a:lstStyle/>
        <a:p>
          <a:endParaRPr lang="tr-TR"/>
        </a:p>
      </dgm:t>
    </dgm:pt>
    <dgm:pt modelId="{0F84931C-AC39-430A-8EFA-9F0091A5216D}">
      <dgm:prSet phldrT="[Metin]"/>
      <dgm:spPr/>
      <dgm:t>
        <a:bodyPr/>
        <a:lstStyle/>
        <a:p>
          <a:r>
            <a:rPr lang="tr-TR"/>
            <a:t>2012</a:t>
          </a:r>
        </a:p>
        <a:p>
          <a:r>
            <a:rPr lang="tr-TR"/>
            <a:t>41,2 milyar</a:t>
          </a:r>
        </a:p>
      </dgm:t>
    </dgm:pt>
    <dgm:pt modelId="{C7CFCE07-4F01-463A-8931-0B55CAE7E3F0}" type="parTrans" cxnId="{BAF6D2FD-2A8A-41AA-A57F-40C1F8146182}">
      <dgm:prSet/>
      <dgm:spPr/>
      <dgm:t>
        <a:bodyPr/>
        <a:lstStyle/>
        <a:p>
          <a:endParaRPr lang="tr-TR"/>
        </a:p>
      </dgm:t>
    </dgm:pt>
    <dgm:pt modelId="{22308D6F-81B8-41D0-B4F0-0A42AD306A28}" type="sibTrans" cxnId="{BAF6D2FD-2A8A-41AA-A57F-40C1F8146182}">
      <dgm:prSet/>
      <dgm:spPr/>
      <dgm:t>
        <a:bodyPr/>
        <a:lstStyle/>
        <a:p>
          <a:endParaRPr lang="tr-TR"/>
        </a:p>
      </dgm:t>
    </dgm:pt>
    <dgm:pt modelId="{7E3BA2A2-D5D5-46D5-B15C-397CDCA5BF23}" type="pres">
      <dgm:prSet presAssocID="{5F59B13C-E4EE-4331-BEBD-FCD2B72C54D1}" presName="Name0" presStyleCnt="0">
        <dgm:presLayoutVars>
          <dgm:dir/>
          <dgm:resizeHandles val="exact"/>
        </dgm:presLayoutVars>
      </dgm:prSet>
      <dgm:spPr/>
      <dgm:t>
        <a:bodyPr/>
        <a:lstStyle/>
        <a:p>
          <a:endParaRPr lang="tr-TR"/>
        </a:p>
      </dgm:t>
    </dgm:pt>
    <dgm:pt modelId="{FDF5578A-E35F-4084-8228-98332ABCE941}" type="pres">
      <dgm:prSet presAssocID="{5F59B13C-E4EE-4331-BEBD-FCD2B72C54D1}" presName="fgShape" presStyleLbl="fgShp" presStyleIdx="0" presStyleCnt="1"/>
      <dgm:spPr/>
      <dgm:extLst>
        <a:ext uri="{E40237B7-FDA0-4F09-8148-C483321AD2D9}">
          <dgm14:cNvPr xmlns:dgm14="http://schemas.microsoft.com/office/drawing/2010/diagram" id="0" name="" descr="İSPANYA'NIN TURİZM GELİRİ"/>
        </a:ext>
      </dgm:extLst>
    </dgm:pt>
    <dgm:pt modelId="{9A02CFEF-F023-4B12-8D42-C31BCBDA8B3F}" type="pres">
      <dgm:prSet presAssocID="{5F59B13C-E4EE-4331-BEBD-FCD2B72C54D1}" presName="linComp" presStyleCnt="0"/>
      <dgm:spPr/>
    </dgm:pt>
    <dgm:pt modelId="{67FDF6B4-2EBF-4646-9FAD-AFD64BEF1105}" type="pres">
      <dgm:prSet presAssocID="{3B7F1E7F-BFB2-4923-9792-2EDB21E46BF7}" presName="compNode" presStyleCnt="0"/>
      <dgm:spPr/>
    </dgm:pt>
    <dgm:pt modelId="{DD7871E8-45A4-4E5C-B3A4-28215DE3E960}" type="pres">
      <dgm:prSet presAssocID="{3B7F1E7F-BFB2-4923-9792-2EDB21E46BF7}" presName="bkgdShape" presStyleLbl="node1" presStyleIdx="0" presStyleCnt="3"/>
      <dgm:spPr/>
      <dgm:t>
        <a:bodyPr/>
        <a:lstStyle/>
        <a:p>
          <a:endParaRPr lang="tr-TR"/>
        </a:p>
      </dgm:t>
    </dgm:pt>
    <dgm:pt modelId="{327AAE71-F00F-4444-B538-743FA1F442F2}" type="pres">
      <dgm:prSet presAssocID="{3B7F1E7F-BFB2-4923-9792-2EDB21E46BF7}" presName="nodeTx" presStyleLbl="node1" presStyleIdx="0" presStyleCnt="3">
        <dgm:presLayoutVars>
          <dgm:bulletEnabled val="1"/>
        </dgm:presLayoutVars>
      </dgm:prSet>
      <dgm:spPr/>
      <dgm:t>
        <a:bodyPr/>
        <a:lstStyle/>
        <a:p>
          <a:endParaRPr lang="tr-TR"/>
        </a:p>
      </dgm:t>
    </dgm:pt>
    <dgm:pt modelId="{CEF33F68-205B-4981-92E3-D2378F69D41F}" type="pres">
      <dgm:prSet presAssocID="{3B7F1E7F-BFB2-4923-9792-2EDB21E46BF7}" presName="invisiNode" presStyleLbl="node1" presStyleIdx="0" presStyleCnt="3"/>
      <dgm:spPr/>
    </dgm:pt>
    <dgm:pt modelId="{38A588A2-5FA1-49C1-9EBB-BFE57460EA34}" type="pres">
      <dgm:prSet presAssocID="{3B7F1E7F-BFB2-4923-9792-2EDB21E46BF7}" presName="imagNod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tr-TR"/>
        </a:p>
      </dgm:t>
    </dgm:pt>
    <dgm:pt modelId="{A1A85FE8-2992-4F6D-B560-D8A392E1B1B6}" type="pres">
      <dgm:prSet presAssocID="{147050FE-7E52-45F6-81C8-E67F01BE9AAF}" presName="sibTrans" presStyleLbl="sibTrans2D1" presStyleIdx="0" presStyleCnt="0"/>
      <dgm:spPr/>
      <dgm:t>
        <a:bodyPr/>
        <a:lstStyle/>
        <a:p>
          <a:endParaRPr lang="tr-TR"/>
        </a:p>
      </dgm:t>
    </dgm:pt>
    <dgm:pt modelId="{723873FE-A2A8-4785-AB20-B7B33E91D937}" type="pres">
      <dgm:prSet presAssocID="{3EB6C1AB-F4F3-4EDC-9C34-6304B961A2FD}" presName="compNode" presStyleCnt="0"/>
      <dgm:spPr/>
    </dgm:pt>
    <dgm:pt modelId="{33553E30-748A-4C73-B12E-4ABD2ACE38E1}" type="pres">
      <dgm:prSet presAssocID="{3EB6C1AB-F4F3-4EDC-9C34-6304B961A2FD}" presName="bkgdShape" presStyleLbl="node1" presStyleIdx="1" presStyleCnt="3"/>
      <dgm:spPr/>
      <dgm:t>
        <a:bodyPr/>
        <a:lstStyle/>
        <a:p>
          <a:endParaRPr lang="tr-TR"/>
        </a:p>
      </dgm:t>
    </dgm:pt>
    <dgm:pt modelId="{25DD2398-2A78-4CE0-97E9-30024E056DAD}" type="pres">
      <dgm:prSet presAssocID="{3EB6C1AB-F4F3-4EDC-9C34-6304B961A2FD}" presName="nodeTx" presStyleLbl="node1" presStyleIdx="1" presStyleCnt="3">
        <dgm:presLayoutVars>
          <dgm:bulletEnabled val="1"/>
        </dgm:presLayoutVars>
      </dgm:prSet>
      <dgm:spPr/>
      <dgm:t>
        <a:bodyPr/>
        <a:lstStyle/>
        <a:p>
          <a:endParaRPr lang="tr-TR"/>
        </a:p>
      </dgm:t>
    </dgm:pt>
    <dgm:pt modelId="{1C70B079-264A-4BCC-B1CE-C7CD20008E80}" type="pres">
      <dgm:prSet presAssocID="{3EB6C1AB-F4F3-4EDC-9C34-6304B961A2FD}" presName="invisiNode" presStyleLbl="node1" presStyleIdx="1" presStyleCnt="3"/>
      <dgm:spPr/>
    </dgm:pt>
    <dgm:pt modelId="{6012D735-0D89-44BF-9885-997683D3B3B6}" type="pres">
      <dgm:prSet presAssocID="{3EB6C1AB-F4F3-4EDC-9C34-6304B961A2FD}" presName="imagNode" presStyleLbl="fgImgPlace1" presStyleIdx="1"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tr-TR"/>
        </a:p>
      </dgm:t>
    </dgm:pt>
    <dgm:pt modelId="{B9858DBC-59CC-4184-BF2A-AEBEF51AA4E3}" type="pres">
      <dgm:prSet presAssocID="{9A38E07B-9938-4A6E-90D2-E74D23D1240D}" presName="sibTrans" presStyleLbl="sibTrans2D1" presStyleIdx="0" presStyleCnt="0"/>
      <dgm:spPr/>
      <dgm:t>
        <a:bodyPr/>
        <a:lstStyle/>
        <a:p>
          <a:endParaRPr lang="tr-TR"/>
        </a:p>
      </dgm:t>
    </dgm:pt>
    <dgm:pt modelId="{FD6900BF-7773-46A6-A126-D2DEF0392985}" type="pres">
      <dgm:prSet presAssocID="{0F84931C-AC39-430A-8EFA-9F0091A5216D}" presName="compNode" presStyleCnt="0"/>
      <dgm:spPr/>
    </dgm:pt>
    <dgm:pt modelId="{9CA115BB-1CD3-4F33-958F-764A4BC22EBB}" type="pres">
      <dgm:prSet presAssocID="{0F84931C-AC39-430A-8EFA-9F0091A5216D}" presName="bkgdShape" presStyleLbl="node1" presStyleIdx="2" presStyleCnt="3"/>
      <dgm:spPr/>
      <dgm:t>
        <a:bodyPr/>
        <a:lstStyle/>
        <a:p>
          <a:endParaRPr lang="tr-TR"/>
        </a:p>
      </dgm:t>
    </dgm:pt>
    <dgm:pt modelId="{90730845-2FDB-4833-A80E-1AFDA30831C6}" type="pres">
      <dgm:prSet presAssocID="{0F84931C-AC39-430A-8EFA-9F0091A5216D}" presName="nodeTx" presStyleLbl="node1" presStyleIdx="2" presStyleCnt="3">
        <dgm:presLayoutVars>
          <dgm:bulletEnabled val="1"/>
        </dgm:presLayoutVars>
      </dgm:prSet>
      <dgm:spPr/>
      <dgm:t>
        <a:bodyPr/>
        <a:lstStyle/>
        <a:p>
          <a:endParaRPr lang="tr-TR"/>
        </a:p>
      </dgm:t>
    </dgm:pt>
    <dgm:pt modelId="{B2F413A7-F774-4DBC-99FD-75AA587CCE32}" type="pres">
      <dgm:prSet presAssocID="{0F84931C-AC39-430A-8EFA-9F0091A5216D}" presName="invisiNode" presStyleLbl="node1" presStyleIdx="2" presStyleCnt="3"/>
      <dgm:spPr/>
    </dgm:pt>
    <dgm:pt modelId="{931C629B-01A7-4A57-A534-D06DC7FA5674}" type="pres">
      <dgm:prSet presAssocID="{0F84931C-AC39-430A-8EFA-9F0091A5216D}" presName="imagNode" presStyleLbl="fgImgPlace1" presStyleIdx="2"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tr-TR"/>
        </a:p>
      </dgm:t>
    </dgm:pt>
  </dgm:ptLst>
  <dgm:cxnLst>
    <dgm:cxn modelId="{62250B0D-94C3-4C63-88EA-CA494383278C}" type="presOf" srcId="{5F59B13C-E4EE-4331-BEBD-FCD2B72C54D1}" destId="{7E3BA2A2-D5D5-46D5-B15C-397CDCA5BF23}" srcOrd="0" destOrd="0" presId="urn:microsoft.com/office/officeart/2005/8/layout/hList7"/>
    <dgm:cxn modelId="{D5092781-9C82-492B-B7C0-E8779C0E0E77}" type="presOf" srcId="{3B7F1E7F-BFB2-4923-9792-2EDB21E46BF7}" destId="{DD7871E8-45A4-4E5C-B3A4-28215DE3E960}" srcOrd="0" destOrd="0" presId="urn:microsoft.com/office/officeart/2005/8/layout/hList7"/>
    <dgm:cxn modelId="{BAF6D2FD-2A8A-41AA-A57F-40C1F8146182}" srcId="{5F59B13C-E4EE-4331-BEBD-FCD2B72C54D1}" destId="{0F84931C-AC39-430A-8EFA-9F0091A5216D}" srcOrd="2" destOrd="0" parTransId="{C7CFCE07-4F01-463A-8931-0B55CAE7E3F0}" sibTransId="{22308D6F-81B8-41D0-B4F0-0A42AD306A28}"/>
    <dgm:cxn modelId="{264E54B3-CFC0-4347-8A3B-F238213A0441}" srcId="{5F59B13C-E4EE-4331-BEBD-FCD2B72C54D1}" destId="{3B7F1E7F-BFB2-4923-9792-2EDB21E46BF7}" srcOrd="0" destOrd="0" parTransId="{301686D0-71DE-4729-9CA4-4FB6292556FD}" sibTransId="{147050FE-7E52-45F6-81C8-E67F01BE9AAF}"/>
    <dgm:cxn modelId="{2C7676DD-9A3C-44D5-9B3D-32478DF73390}" type="presOf" srcId="{0F84931C-AC39-430A-8EFA-9F0091A5216D}" destId="{90730845-2FDB-4833-A80E-1AFDA30831C6}" srcOrd="1" destOrd="0" presId="urn:microsoft.com/office/officeart/2005/8/layout/hList7"/>
    <dgm:cxn modelId="{39C12173-8D03-429B-A5F1-ACC7CBF6E4EC}" type="presOf" srcId="{3EB6C1AB-F4F3-4EDC-9C34-6304B961A2FD}" destId="{25DD2398-2A78-4CE0-97E9-30024E056DAD}" srcOrd="1" destOrd="0" presId="urn:microsoft.com/office/officeart/2005/8/layout/hList7"/>
    <dgm:cxn modelId="{8F379FBD-4E6D-4762-988D-0811DE7B0A9E}" type="presOf" srcId="{147050FE-7E52-45F6-81C8-E67F01BE9AAF}" destId="{A1A85FE8-2992-4F6D-B560-D8A392E1B1B6}" srcOrd="0" destOrd="0" presId="urn:microsoft.com/office/officeart/2005/8/layout/hList7"/>
    <dgm:cxn modelId="{ADEA4052-7CB7-4174-B70E-1E07C918714D}" type="presOf" srcId="{0F84931C-AC39-430A-8EFA-9F0091A5216D}" destId="{9CA115BB-1CD3-4F33-958F-764A4BC22EBB}" srcOrd="0" destOrd="0" presId="urn:microsoft.com/office/officeart/2005/8/layout/hList7"/>
    <dgm:cxn modelId="{A5B16820-7097-41F8-AB87-33104CC2B256}" type="presOf" srcId="{3EB6C1AB-F4F3-4EDC-9C34-6304B961A2FD}" destId="{33553E30-748A-4C73-B12E-4ABD2ACE38E1}" srcOrd="0" destOrd="0" presId="urn:microsoft.com/office/officeart/2005/8/layout/hList7"/>
    <dgm:cxn modelId="{83D0EDFF-EB1B-4859-B5E9-5569810FF45C}" type="presOf" srcId="{9A38E07B-9938-4A6E-90D2-E74D23D1240D}" destId="{B9858DBC-59CC-4184-BF2A-AEBEF51AA4E3}" srcOrd="0" destOrd="0" presId="urn:microsoft.com/office/officeart/2005/8/layout/hList7"/>
    <dgm:cxn modelId="{404C9DD9-1C5E-486E-A00F-7F984DEA85FB}" type="presOf" srcId="{3B7F1E7F-BFB2-4923-9792-2EDB21E46BF7}" destId="{327AAE71-F00F-4444-B538-743FA1F442F2}" srcOrd="1" destOrd="0" presId="urn:microsoft.com/office/officeart/2005/8/layout/hList7"/>
    <dgm:cxn modelId="{1AEA6142-4DBE-4AED-814B-1C36C3223F26}" srcId="{5F59B13C-E4EE-4331-BEBD-FCD2B72C54D1}" destId="{3EB6C1AB-F4F3-4EDC-9C34-6304B961A2FD}" srcOrd="1" destOrd="0" parTransId="{2CB4790D-B296-4C57-A5FB-6BA6D5B3B76D}" sibTransId="{9A38E07B-9938-4A6E-90D2-E74D23D1240D}"/>
    <dgm:cxn modelId="{41212B31-568A-4FEA-9B32-B3CBA5BA22E9}" type="presParOf" srcId="{7E3BA2A2-D5D5-46D5-B15C-397CDCA5BF23}" destId="{FDF5578A-E35F-4084-8228-98332ABCE941}" srcOrd="0" destOrd="0" presId="urn:microsoft.com/office/officeart/2005/8/layout/hList7"/>
    <dgm:cxn modelId="{B3988EBF-644C-4D7A-A802-F5AC858A9BEC}" type="presParOf" srcId="{7E3BA2A2-D5D5-46D5-B15C-397CDCA5BF23}" destId="{9A02CFEF-F023-4B12-8D42-C31BCBDA8B3F}" srcOrd="1" destOrd="0" presId="urn:microsoft.com/office/officeart/2005/8/layout/hList7"/>
    <dgm:cxn modelId="{CBB75FAF-018B-4ADB-BB12-8D5C88071427}" type="presParOf" srcId="{9A02CFEF-F023-4B12-8D42-C31BCBDA8B3F}" destId="{67FDF6B4-2EBF-4646-9FAD-AFD64BEF1105}" srcOrd="0" destOrd="0" presId="urn:microsoft.com/office/officeart/2005/8/layout/hList7"/>
    <dgm:cxn modelId="{0EF624C5-7167-47EB-8CDF-EB9B3AA704AE}" type="presParOf" srcId="{67FDF6B4-2EBF-4646-9FAD-AFD64BEF1105}" destId="{DD7871E8-45A4-4E5C-B3A4-28215DE3E960}" srcOrd="0" destOrd="0" presId="urn:microsoft.com/office/officeart/2005/8/layout/hList7"/>
    <dgm:cxn modelId="{B62ACB36-71F2-4E43-B9C3-4B67B8A4D73A}" type="presParOf" srcId="{67FDF6B4-2EBF-4646-9FAD-AFD64BEF1105}" destId="{327AAE71-F00F-4444-B538-743FA1F442F2}" srcOrd="1" destOrd="0" presId="urn:microsoft.com/office/officeart/2005/8/layout/hList7"/>
    <dgm:cxn modelId="{AD25C4D2-279A-4ADA-B2FC-BB23239C47FA}" type="presParOf" srcId="{67FDF6B4-2EBF-4646-9FAD-AFD64BEF1105}" destId="{CEF33F68-205B-4981-92E3-D2378F69D41F}" srcOrd="2" destOrd="0" presId="urn:microsoft.com/office/officeart/2005/8/layout/hList7"/>
    <dgm:cxn modelId="{E357A053-C851-4430-805B-E2CC46178BB0}" type="presParOf" srcId="{67FDF6B4-2EBF-4646-9FAD-AFD64BEF1105}" destId="{38A588A2-5FA1-49C1-9EBB-BFE57460EA34}" srcOrd="3" destOrd="0" presId="urn:microsoft.com/office/officeart/2005/8/layout/hList7"/>
    <dgm:cxn modelId="{216C6521-F3B9-4E75-B65A-8A1F72D7BF5E}" type="presParOf" srcId="{9A02CFEF-F023-4B12-8D42-C31BCBDA8B3F}" destId="{A1A85FE8-2992-4F6D-B560-D8A392E1B1B6}" srcOrd="1" destOrd="0" presId="urn:microsoft.com/office/officeart/2005/8/layout/hList7"/>
    <dgm:cxn modelId="{79DB1940-19FD-4900-BA76-0A131BC2EBEF}" type="presParOf" srcId="{9A02CFEF-F023-4B12-8D42-C31BCBDA8B3F}" destId="{723873FE-A2A8-4785-AB20-B7B33E91D937}" srcOrd="2" destOrd="0" presId="urn:microsoft.com/office/officeart/2005/8/layout/hList7"/>
    <dgm:cxn modelId="{5C49D70C-9C34-4E97-B32E-D56B86522DA3}" type="presParOf" srcId="{723873FE-A2A8-4785-AB20-B7B33E91D937}" destId="{33553E30-748A-4C73-B12E-4ABD2ACE38E1}" srcOrd="0" destOrd="0" presId="urn:microsoft.com/office/officeart/2005/8/layout/hList7"/>
    <dgm:cxn modelId="{9D992F02-2419-4E8E-A471-07D6E63339C1}" type="presParOf" srcId="{723873FE-A2A8-4785-AB20-B7B33E91D937}" destId="{25DD2398-2A78-4CE0-97E9-30024E056DAD}" srcOrd="1" destOrd="0" presId="urn:microsoft.com/office/officeart/2005/8/layout/hList7"/>
    <dgm:cxn modelId="{59968CBA-A911-4F22-9DF2-39E94AFF3C2C}" type="presParOf" srcId="{723873FE-A2A8-4785-AB20-B7B33E91D937}" destId="{1C70B079-264A-4BCC-B1CE-C7CD20008E80}" srcOrd="2" destOrd="0" presId="urn:microsoft.com/office/officeart/2005/8/layout/hList7"/>
    <dgm:cxn modelId="{F41A3B35-D426-4BFA-8989-8D2631CE0A77}" type="presParOf" srcId="{723873FE-A2A8-4785-AB20-B7B33E91D937}" destId="{6012D735-0D89-44BF-9885-997683D3B3B6}" srcOrd="3" destOrd="0" presId="urn:microsoft.com/office/officeart/2005/8/layout/hList7"/>
    <dgm:cxn modelId="{25DA762B-F1F1-4E68-B66B-5C4A1668D75C}" type="presParOf" srcId="{9A02CFEF-F023-4B12-8D42-C31BCBDA8B3F}" destId="{B9858DBC-59CC-4184-BF2A-AEBEF51AA4E3}" srcOrd="3" destOrd="0" presId="urn:microsoft.com/office/officeart/2005/8/layout/hList7"/>
    <dgm:cxn modelId="{596D0531-0E32-4786-9C2F-0819B40E24AD}" type="presParOf" srcId="{9A02CFEF-F023-4B12-8D42-C31BCBDA8B3F}" destId="{FD6900BF-7773-46A6-A126-D2DEF0392985}" srcOrd="4" destOrd="0" presId="urn:microsoft.com/office/officeart/2005/8/layout/hList7"/>
    <dgm:cxn modelId="{AFF31E9E-43DD-4D65-98B7-777349D1C748}" type="presParOf" srcId="{FD6900BF-7773-46A6-A126-D2DEF0392985}" destId="{9CA115BB-1CD3-4F33-958F-764A4BC22EBB}" srcOrd="0" destOrd="0" presId="urn:microsoft.com/office/officeart/2005/8/layout/hList7"/>
    <dgm:cxn modelId="{7DF64C89-43E0-4B6D-9D08-53AD3F0C4603}" type="presParOf" srcId="{FD6900BF-7773-46A6-A126-D2DEF0392985}" destId="{90730845-2FDB-4833-A80E-1AFDA30831C6}" srcOrd="1" destOrd="0" presId="urn:microsoft.com/office/officeart/2005/8/layout/hList7"/>
    <dgm:cxn modelId="{85FF01B6-A23C-49B6-9E4C-2EB6C9E58463}" type="presParOf" srcId="{FD6900BF-7773-46A6-A126-D2DEF0392985}" destId="{B2F413A7-F774-4DBC-99FD-75AA587CCE32}" srcOrd="2" destOrd="0" presId="urn:microsoft.com/office/officeart/2005/8/layout/hList7"/>
    <dgm:cxn modelId="{7522D8D6-6490-41F9-A17F-30BE34E22FB8}" type="presParOf" srcId="{FD6900BF-7773-46A6-A126-D2DEF0392985}" destId="{931C629B-01A7-4A57-A534-D06DC7FA5674}" srcOrd="3" destOrd="0" presId="urn:microsoft.com/office/officeart/2005/8/layout/hList7"/>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7871E8-45A4-4E5C-B3A4-28215DE3E960}">
      <dsp:nvSpPr>
        <dsp:cNvPr id="0" name=""/>
        <dsp:cNvSpPr/>
      </dsp:nvSpPr>
      <dsp:spPr>
        <a:xfrm>
          <a:off x="1153" y="0"/>
          <a:ext cx="1794785" cy="174133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2004</a:t>
          </a:r>
        </a:p>
        <a:p>
          <a:pPr lvl="0" algn="ctr" defTabSz="622300">
            <a:lnSpc>
              <a:spcPct val="90000"/>
            </a:lnSpc>
            <a:spcBef>
              <a:spcPct val="0"/>
            </a:spcBef>
            <a:spcAft>
              <a:spcPct val="35000"/>
            </a:spcAft>
          </a:pPr>
          <a:r>
            <a:rPr lang="tr-TR" sz="1400" kern="1200"/>
            <a:t>35,7 milyar</a:t>
          </a:r>
        </a:p>
      </dsp:txBody>
      <dsp:txXfrm>
        <a:off x="1153" y="696534"/>
        <a:ext cx="1794785" cy="696534"/>
      </dsp:txXfrm>
    </dsp:sp>
    <dsp:sp modelId="{38A588A2-5FA1-49C1-9EBB-BFE57460EA34}">
      <dsp:nvSpPr>
        <dsp:cNvPr id="0" name=""/>
        <dsp:cNvSpPr/>
      </dsp:nvSpPr>
      <dsp:spPr>
        <a:xfrm>
          <a:off x="608614" y="104480"/>
          <a:ext cx="579864" cy="57986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3553E30-748A-4C73-B12E-4ABD2ACE38E1}">
      <dsp:nvSpPr>
        <dsp:cNvPr id="0" name=""/>
        <dsp:cNvSpPr/>
      </dsp:nvSpPr>
      <dsp:spPr>
        <a:xfrm>
          <a:off x="1849783" y="0"/>
          <a:ext cx="1794785" cy="174133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2009</a:t>
          </a:r>
        </a:p>
        <a:p>
          <a:pPr lvl="0" algn="ctr" defTabSz="622300">
            <a:lnSpc>
              <a:spcPct val="90000"/>
            </a:lnSpc>
            <a:spcBef>
              <a:spcPct val="0"/>
            </a:spcBef>
            <a:spcAft>
              <a:spcPct val="35000"/>
            </a:spcAft>
          </a:pPr>
          <a:r>
            <a:rPr lang="tr-TR" sz="1400" kern="1200"/>
            <a:t>40,2 milyar</a:t>
          </a:r>
        </a:p>
      </dsp:txBody>
      <dsp:txXfrm>
        <a:off x="1849783" y="696534"/>
        <a:ext cx="1794785" cy="696534"/>
      </dsp:txXfrm>
    </dsp:sp>
    <dsp:sp modelId="{6012D735-0D89-44BF-9885-997683D3B3B6}">
      <dsp:nvSpPr>
        <dsp:cNvPr id="0" name=""/>
        <dsp:cNvSpPr/>
      </dsp:nvSpPr>
      <dsp:spPr>
        <a:xfrm>
          <a:off x="2457243" y="104480"/>
          <a:ext cx="579864" cy="57986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9CA115BB-1CD3-4F33-958F-764A4BC22EBB}">
      <dsp:nvSpPr>
        <dsp:cNvPr id="0" name=""/>
        <dsp:cNvSpPr/>
      </dsp:nvSpPr>
      <dsp:spPr>
        <a:xfrm>
          <a:off x="3698412" y="0"/>
          <a:ext cx="1794785" cy="174133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2012</a:t>
          </a:r>
        </a:p>
        <a:p>
          <a:pPr lvl="0" algn="ctr" defTabSz="622300">
            <a:lnSpc>
              <a:spcPct val="90000"/>
            </a:lnSpc>
            <a:spcBef>
              <a:spcPct val="0"/>
            </a:spcBef>
            <a:spcAft>
              <a:spcPct val="35000"/>
            </a:spcAft>
          </a:pPr>
          <a:r>
            <a:rPr lang="tr-TR" sz="1400" kern="1200"/>
            <a:t>41,2 milyar</a:t>
          </a:r>
        </a:p>
      </dsp:txBody>
      <dsp:txXfrm>
        <a:off x="3698412" y="696534"/>
        <a:ext cx="1794785" cy="696534"/>
      </dsp:txXfrm>
    </dsp:sp>
    <dsp:sp modelId="{931C629B-01A7-4A57-A534-D06DC7FA5674}">
      <dsp:nvSpPr>
        <dsp:cNvPr id="0" name=""/>
        <dsp:cNvSpPr/>
      </dsp:nvSpPr>
      <dsp:spPr>
        <a:xfrm>
          <a:off x="4305873" y="104480"/>
          <a:ext cx="579864" cy="57986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FDF5578A-E35F-4084-8228-98332ABCE941}">
      <dsp:nvSpPr>
        <dsp:cNvPr id="0" name=""/>
        <dsp:cNvSpPr/>
      </dsp:nvSpPr>
      <dsp:spPr>
        <a:xfrm>
          <a:off x="219774" y="1393068"/>
          <a:ext cx="5054803" cy="261200"/>
        </a:xfrm>
        <a:prstGeom prst="leftRightArrow">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5373-3D8B-4206-A02E-4F9D6629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1794</Words>
  <Characters>10228</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fatih.gonul</dc:creator>
  <cp:lastModifiedBy>fatih.gonul</cp:lastModifiedBy>
  <cp:revision>3</cp:revision>
  <cp:lastPrinted>2014-02-20T13:43:00Z</cp:lastPrinted>
  <dcterms:created xsi:type="dcterms:W3CDTF">2014-02-20T14:04:00Z</dcterms:created>
  <dcterms:modified xsi:type="dcterms:W3CDTF">2014-02-21T09:12:00Z</dcterms:modified>
</cp:coreProperties>
</file>