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2" w:rsidRDefault="00A1682A" w:rsidP="007F2486">
      <w:pPr>
        <w:ind w:left="2124" w:firstLine="708"/>
        <w:rPr>
          <w:b/>
        </w:rPr>
      </w:pPr>
      <w:r w:rsidRPr="00A1682A">
        <w:rPr>
          <w:b/>
        </w:rPr>
        <w:t>SİRKÜLER</w:t>
      </w:r>
      <w:r w:rsidR="001A7B00">
        <w:rPr>
          <w:b/>
        </w:rPr>
        <w:t xml:space="preserve"> 2014/ 20</w:t>
      </w:r>
    </w:p>
    <w:p w:rsidR="001A7B00" w:rsidRPr="00A1682A" w:rsidRDefault="001A7B00" w:rsidP="001A7B00">
      <w:pPr>
        <w:ind w:left="1416" w:firstLine="708"/>
        <w:rPr>
          <w:b/>
        </w:rPr>
      </w:pPr>
    </w:p>
    <w:p w:rsidR="00947952" w:rsidRPr="00A1682A" w:rsidRDefault="0072066E" w:rsidP="00A1682A">
      <w:pPr>
        <w:jc w:val="both"/>
        <w:rPr>
          <w:b/>
        </w:rPr>
      </w:pPr>
      <w:r>
        <w:rPr>
          <w:b/>
        </w:rPr>
        <w:t>6552 sayılı Kanunla Yapılan Vergisel Düzenlemeler</w:t>
      </w:r>
    </w:p>
    <w:p w:rsidR="001A7B00" w:rsidRDefault="001A7B00" w:rsidP="00A1682A">
      <w:pPr>
        <w:jc w:val="both"/>
      </w:pPr>
    </w:p>
    <w:p w:rsidR="0072066E" w:rsidRDefault="0072066E" w:rsidP="00A1682A">
      <w:pPr>
        <w:jc w:val="both"/>
      </w:pPr>
      <w:r>
        <w:t>“Torba Kanun” adı verilen 6552 sayılı Kanun ile bazı kamu alacaklarının yapılandırılması ile kasa ve ortaklardan alacaklar tutarlarının düzeltilmesine dair düzenlemelerin yanı sıra bazı vergisel düzenlemeler de yapılmıştır. Söz konusu vergisel düzenlemeler aşağıda yer almaktadır.</w:t>
      </w:r>
    </w:p>
    <w:p w:rsidR="00947952" w:rsidRPr="00510AA7" w:rsidRDefault="0072066E" w:rsidP="00510AA7">
      <w:pPr>
        <w:pStyle w:val="ListeParagraf"/>
        <w:numPr>
          <w:ilvl w:val="0"/>
          <w:numId w:val="1"/>
        </w:numPr>
        <w:jc w:val="both"/>
        <w:rPr>
          <w:b/>
        </w:rPr>
      </w:pPr>
      <w:r>
        <w:rPr>
          <w:b/>
        </w:rPr>
        <w:t>Süresiz Çalışma İzni Verilen Yabancılara Harç Muafiyeti Getirilmiştir (Madde 23)</w:t>
      </w:r>
    </w:p>
    <w:p w:rsidR="00947952" w:rsidRDefault="0072066E" w:rsidP="00A1682A">
      <w:pPr>
        <w:jc w:val="both"/>
      </w:pPr>
      <w:r>
        <w:t>6552 sayılı Kanunun 23’üncü maddesi ile Harçlar Kanununun 88’inci maddesine eklenen bent ile Çalışma ve Sosyal Güvenlik Bakanlığınca süresiz çalışma izni verilen yabancılara ikamet tezkeresinin harç alınmaksızın verilmesi sağlanmıştır. (Yürürlük 11.09.2014)</w:t>
      </w:r>
    </w:p>
    <w:p w:rsidR="00510AA7" w:rsidRPr="00510AA7" w:rsidRDefault="0072066E" w:rsidP="00510AA7">
      <w:pPr>
        <w:pStyle w:val="ListeParagraf"/>
        <w:numPr>
          <w:ilvl w:val="0"/>
          <w:numId w:val="1"/>
        </w:numPr>
        <w:jc w:val="both"/>
        <w:rPr>
          <w:b/>
        </w:rPr>
      </w:pPr>
      <w:r>
        <w:rPr>
          <w:b/>
        </w:rPr>
        <w:t>Kıymetli Taşlar İçin Katma Değer Vergisi Kanununun 17/4-g Maddesinde Yer Alan KDV İstisnasına Sınır Getirilmiştir (Madde 26)</w:t>
      </w:r>
    </w:p>
    <w:p w:rsidR="00814860" w:rsidRDefault="00AD25CC" w:rsidP="00A1682A">
      <w:pPr>
        <w:jc w:val="both"/>
      </w:pPr>
      <w:r>
        <w:t>Söz konusu maddede yapılan değişiklikle;</w:t>
      </w:r>
    </w:p>
    <w:p w:rsidR="00AD25CC" w:rsidRDefault="00AD25CC" w:rsidP="00A1682A">
      <w:pPr>
        <w:jc w:val="both"/>
      </w:pPr>
      <w:r>
        <w:t xml:space="preserve">-Öncelikle kübik </w:t>
      </w:r>
      <w:proofErr w:type="spellStart"/>
      <w:r>
        <w:t>virconia</w:t>
      </w:r>
      <w:proofErr w:type="spellEnd"/>
      <w:r>
        <w:t xml:space="preserve"> istisna kapsamının dışına çıkarılmış,</w:t>
      </w:r>
    </w:p>
    <w:p w:rsidR="00AD25CC" w:rsidRDefault="00AD25CC" w:rsidP="00A1682A">
      <w:pPr>
        <w:jc w:val="both"/>
      </w:pPr>
      <w:r>
        <w:t>-Elmas, pırlanta, yakut, zümrüt, topaz, safir, inci teslimlerinde var olan sınırsız istisna ise, söz konusu kıymetli taşların yalnızca 6362 sayılı Sermaye Piyasası Kanununa göre Türkiye’de kurulu borsalarda işlem görmek üzere ithali, borsaya teslimi ve borsa üyeleri arasında el değiştirmesi aşamalarına münhasır hale getirilmiştir. Bunların dışındaki teslimler KDV’ye tabi olacaktır. (Yürürlük 11.09.2014)</w:t>
      </w:r>
    </w:p>
    <w:p w:rsidR="00105F7B" w:rsidRPr="00105F7B" w:rsidRDefault="00AD25CC" w:rsidP="00105F7B">
      <w:pPr>
        <w:pStyle w:val="ListeParagraf"/>
        <w:numPr>
          <w:ilvl w:val="0"/>
          <w:numId w:val="1"/>
        </w:numPr>
        <w:jc w:val="both"/>
        <w:rPr>
          <w:b/>
        </w:rPr>
      </w:pPr>
      <w:proofErr w:type="spellStart"/>
      <w:r>
        <w:rPr>
          <w:b/>
        </w:rPr>
        <w:t>SGK’ya</w:t>
      </w:r>
      <w:proofErr w:type="spellEnd"/>
      <w:r>
        <w:rPr>
          <w:b/>
        </w:rPr>
        <w:t xml:space="preserve"> Bağlı Tahsil Dairelerince 6183 sayılı Kanun Kapsamında Takip Edilen Borçlara Karşılık Kurum’a Yapılan Taşınmaz Devirleri ile Bu Taşınmazların </w:t>
      </w:r>
      <w:proofErr w:type="spellStart"/>
      <w:r>
        <w:rPr>
          <w:b/>
        </w:rPr>
        <w:t>SGK’ca</w:t>
      </w:r>
      <w:proofErr w:type="spellEnd"/>
      <w:r>
        <w:rPr>
          <w:b/>
        </w:rPr>
        <w:t xml:space="preserve"> Devri KDV’den İstisna Edilmiştir (Madde 27)</w:t>
      </w:r>
    </w:p>
    <w:p w:rsidR="00DA7908" w:rsidRDefault="00AD25CC" w:rsidP="00A1682A">
      <w:pPr>
        <w:jc w:val="both"/>
      </w:pPr>
      <w:r>
        <w:t xml:space="preserve">5510 sayılı Sosyal Sigortalar ve Genel Sağlık Sigortası Kanununun geçici 41’inci maddesi uyarınca, 31.12.2013 tarihine kadar uygulanmak üzere, </w:t>
      </w:r>
      <w:proofErr w:type="spellStart"/>
      <w:r>
        <w:t>SGK’ya</w:t>
      </w:r>
      <w:proofErr w:type="spellEnd"/>
      <w:r>
        <w:t xml:space="preserve"> olan prim ve benzeri borçların Kuruma yapılacak taşınmaz devri ile ödenmesi mümkündür. </w:t>
      </w:r>
    </w:p>
    <w:p w:rsidR="00AD25CC" w:rsidRDefault="00AD25CC" w:rsidP="00A1682A">
      <w:pPr>
        <w:jc w:val="both"/>
      </w:pPr>
      <w:r>
        <w:t xml:space="preserve">6552 sayılı Kanunun 27’nci maddesi ile Katma Değer Vergisi Kanununa eklenen geçici 33’üncü madde ile </w:t>
      </w:r>
      <w:proofErr w:type="spellStart"/>
      <w:r>
        <w:t>SGK’ya</w:t>
      </w:r>
      <w:proofErr w:type="spellEnd"/>
      <w:r>
        <w:t xml:space="preserve"> bu kapsamda borç karşılığı yapılan taşınmaz devirleri ile bu taşınmazların SGK tarafından (müzayede mahallerinde yapılan satışlar dahil) devir ve teslimi 31.12.2023 tarihine kadar KDV’den istisnadır. Ayrıca bu istisna nedeniyle Katma Değer Vergisi Kanununun 30/a maddesi uygulanmayacak, yani devre konu taşınmazların iktisabında ödenen KDV, indirim konusu yapılabilecektir. (yürürlük 11.09.2014)</w:t>
      </w:r>
    </w:p>
    <w:p w:rsidR="00105F7B" w:rsidRPr="00105F7B" w:rsidRDefault="009E5B6E" w:rsidP="00105F7B">
      <w:pPr>
        <w:pStyle w:val="ListeParagraf"/>
        <w:numPr>
          <w:ilvl w:val="0"/>
          <w:numId w:val="1"/>
        </w:numPr>
        <w:jc w:val="both"/>
        <w:rPr>
          <w:b/>
        </w:rPr>
      </w:pPr>
      <w:proofErr w:type="spellStart"/>
      <w:r>
        <w:rPr>
          <w:b/>
        </w:rPr>
        <w:t>SGK’ya</w:t>
      </w:r>
      <w:proofErr w:type="spellEnd"/>
      <w:r>
        <w:rPr>
          <w:b/>
        </w:rPr>
        <w:t xml:space="preserve"> Tanınan Vergi ve Harç Muafiyetinin Kapsamı Genişletilmiştir (Madde 38)</w:t>
      </w:r>
    </w:p>
    <w:p w:rsidR="003D7A33" w:rsidRDefault="00730E8E" w:rsidP="00A1682A">
      <w:pPr>
        <w:jc w:val="both"/>
      </w:pPr>
      <w:r>
        <w:t>5502 sayılı Kanunun 36’ncı</w:t>
      </w:r>
      <w:r w:rsidR="009E5B6E">
        <w:t xml:space="preserve"> maddesi ile SGK yapacağı bazı iş ve işlemler nedeniyle çeşitli vergi ve harçlardan muaf tutulmuştur. 6552 sayılı Kanunun 38’inci maddesi ile söz konusu istisnalar genişletilmişti</w:t>
      </w:r>
      <w:bookmarkStart w:id="0" w:name="_GoBack"/>
      <w:bookmarkEnd w:id="0"/>
      <w:r w:rsidR="009E5B6E">
        <w:t xml:space="preserve">r. </w:t>
      </w:r>
    </w:p>
    <w:p w:rsidR="003D7A33" w:rsidRDefault="003D7A33" w:rsidP="00A1682A">
      <w:pPr>
        <w:jc w:val="both"/>
      </w:pPr>
      <w:r>
        <w:lastRenderedPageBreak/>
        <w:t>Bu madde uyarınca SGK 5502 sayılı Kanun kapsamındaki faaliyetleri dolayısıyla yapılan işlemler yönünden ilgili kanunlarında yer almamış olsa dahi;</w:t>
      </w:r>
    </w:p>
    <w:p w:rsidR="003D7A33" w:rsidRDefault="003D7A33" w:rsidP="00A1682A">
      <w:pPr>
        <w:jc w:val="both"/>
      </w:pPr>
      <w:r>
        <w:t>-Harçlar Kanununa göre alınan harçlardan,</w:t>
      </w:r>
    </w:p>
    <w:p w:rsidR="003D7A33" w:rsidRDefault="003D7A33" w:rsidP="00A1682A">
      <w:pPr>
        <w:jc w:val="both"/>
      </w:pPr>
      <w:r>
        <w:t>-Elektrik ve havagazı tüketim vergisi ve yangın sigortası hariç olmak üzere Belediye Gelirleri Kanunu gereğince alınan vergi,</w:t>
      </w:r>
    </w:p>
    <w:p w:rsidR="003D7A33" w:rsidRDefault="003D7A33" w:rsidP="00A1682A">
      <w:pPr>
        <w:jc w:val="both"/>
      </w:pPr>
      <w:r>
        <w:t>-Harç, katılma payı ile tasdik ücretlerinden,</w:t>
      </w:r>
    </w:p>
    <w:p w:rsidR="003D7A33" w:rsidRDefault="003D7A33" w:rsidP="00A1682A">
      <w:pPr>
        <w:jc w:val="both"/>
      </w:pPr>
      <w:r>
        <w:t>-Düzenleyeceği kağıtlar nedeniyle damga vergisinden,</w:t>
      </w:r>
    </w:p>
    <w:p w:rsidR="003D7A33" w:rsidRDefault="003D7A33" w:rsidP="00A1682A">
      <w:pPr>
        <w:jc w:val="both"/>
      </w:pPr>
      <w:r>
        <w:t>-Sahip olduğu taşınmazlar nedeniyle emlak vergisinden, satın alınan ve satılan taşınmazlar ile ilgili olarak tapu ve kadastro döner sermaye bedellerinden,</w:t>
      </w:r>
    </w:p>
    <w:p w:rsidR="003D7A33" w:rsidRDefault="003D7A33" w:rsidP="00A1682A">
      <w:pPr>
        <w:jc w:val="both"/>
      </w:pPr>
      <w:r>
        <w:t>-Her türlü dava ve icra işlemlerinde teminat yatırma mükellefiyetinden,</w:t>
      </w:r>
    </w:p>
    <w:p w:rsidR="003D7A33" w:rsidRDefault="00730E8E" w:rsidP="00A1682A">
      <w:pPr>
        <w:jc w:val="both"/>
      </w:pPr>
      <w:r>
        <w:t>m</w:t>
      </w:r>
      <w:r w:rsidR="003D7A33">
        <w:t>uaftır. (Yürürlük 11.09.2014)</w:t>
      </w:r>
    </w:p>
    <w:p w:rsidR="003D7A33" w:rsidRPr="003D7A33" w:rsidRDefault="003D7A33" w:rsidP="003D7A33">
      <w:pPr>
        <w:pStyle w:val="ListeParagraf"/>
        <w:numPr>
          <w:ilvl w:val="0"/>
          <w:numId w:val="1"/>
        </w:numPr>
        <w:jc w:val="both"/>
        <w:rPr>
          <w:b/>
        </w:rPr>
      </w:pPr>
      <w:r w:rsidRPr="003D7A33">
        <w:rPr>
          <w:b/>
        </w:rPr>
        <w:t>Başbakanlıkça veya Bakanlar Kurulunca Başlatılan Yardım Kampanyalarına Makbuz Karşılığı Yapılan Ayni ve Nakdi Bağışların Tamamı Gelir ve Kurumlar Vergisi Matrahının Tespitinde İndirim Konusu Yapılabilecektir (Madde 92)</w:t>
      </w:r>
    </w:p>
    <w:p w:rsidR="003D7A33" w:rsidRDefault="003D7A33" w:rsidP="00A1682A">
      <w:pPr>
        <w:jc w:val="both"/>
      </w:pPr>
      <w:r>
        <w:t xml:space="preserve">Gelir ve Kurumlar Vergisi Kanunlarında yapılan düzenlemeyle </w:t>
      </w:r>
      <w:r w:rsidR="007617C5">
        <w:t>bağış kampanyası doğal afetler dolayısıyla olsun ya da olmasın, Başbakanlık veya Bakanlar Kurulunca başlatıldığı sürece, bu kampanyaya yapılan bağışların tamamı gelir ve kurumlar vergisi matrahının tespitinde indirim konusu yapılabilecektir. Bu indirim için Bakanlar Kurulu Kararına da gerek bulunmamaktadır.</w:t>
      </w:r>
      <w:r w:rsidR="00180C30">
        <w:t xml:space="preserve"> (Yürürlük 11.09.2014)</w:t>
      </w:r>
    </w:p>
    <w:p w:rsidR="00180C30" w:rsidRPr="00180C30" w:rsidRDefault="00180C30" w:rsidP="00180C30">
      <w:pPr>
        <w:pStyle w:val="ListeParagraf"/>
        <w:numPr>
          <w:ilvl w:val="0"/>
          <w:numId w:val="1"/>
        </w:numPr>
        <w:jc w:val="both"/>
        <w:rPr>
          <w:b/>
        </w:rPr>
      </w:pPr>
      <w:r w:rsidRPr="00180C30">
        <w:rPr>
          <w:b/>
        </w:rPr>
        <w:t>Korunması Gerekli Taşınmaz Kültür Varlıklarına Yönelik Vergi, Resim ve Harç İstisnasında Kapsam Daraltılmıştır (Madde 98)</w:t>
      </w:r>
    </w:p>
    <w:p w:rsidR="00180C30" w:rsidRDefault="00180C30" w:rsidP="00A1682A">
      <w:pPr>
        <w:jc w:val="both"/>
      </w:pPr>
      <w:r>
        <w:t>2863 sayılı Kültür ve Tabiat Varlıklarını Koruma Kanununun 21’inci maddesinde aşağıdaki düzenlemeler yapılmıştır:</w:t>
      </w:r>
    </w:p>
    <w:p w:rsidR="00180C30" w:rsidRDefault="00180C30" w:rsidP="00A1682A">
      <w:pPr>
        <w:jc w:val="both"/>
      </w:pPr>
      <w:proofErr w:type="gramStart"/>
      <w:r>
        <w:t xml:space="preserve">-Tapu kütüğüne “korunması gerekli taşınmaz kültür varlığı” kaydı konuşmuş olan I ve </w:t>
      </w:r>
      <w:proofErr w:type="spellStart"/>
      <w:r>
        <w:t>II’nci</w:t>
      </w:r>
      <w:proofErr w:type="spellEnd"/>
      <w:r>
        <w:t xml:space="preserve"> grup taşınmaz kültür varlıkları ile arkeolojik sit alanı ve doğal sit alanı olmaları nedeniyle üzerlerinde kesin yapılanma yasağı getirilmiş taşınmaz kültür ve tabiat varlıkları olan parsellerin her türlü vergi, resim ve harçtan muaf olma durumu devam ettirilmekle birlikte, yapılan değişiklik uyarınca büyükşehir belediye sınırları içerisinde yer alan ve yukarıda nitelikleri belirtilen taşınmazlardan basit usulde vergilendirilenlerin dışında ticari faaliyetlerde kullanılanlar hakkında emlak vergisinin yarısı ve </w:t>
      </w:r>
      <w:proofErr w:type="spellStart"/>
      <w:r>
        <w:t>çervre</w:t>
      </w:r>
      <w:proofErr w:type="spellEnd"/>
      <w:r>
        <w:t xml:space="preserve"> temizlik vergisinin tamamına ilişkin muafiyet hükmü uygulanmayacaktır. </w:t>
      </w:r>
      <w:proofErr w:type="gramEnd"/>
      <w:r>
        <w:t>(Yürürlük 11.09.2014)</w:t>
      </w:r>
    </w:p>
    <w:p w:rsidR="002C12B0" w:rsidRPr="002C12B0" w:rsidRDefault="002C12B0" w:rsidP="002C12B0">
      <w:pPr>
        <w:pStyle w:val="ListeParagraf"/>
        <w:numPr>
          <w:ilvl w:val="0"/>
          <w:numId w:val="1"/>
        </w:numPr>
        <w:jc w:val="both"/>
        <w:rPr>
          <w:b/>
        </w:rPr>
      </w:pPr>
      <w:r w:rsidRPr="002C12B0">
        <w:rPr>
          <w:b/>
        </w:rPr>
        <w:t>Kıymetli Taşlarla İlgili Olarak Özel Tüketim Vergisi Kanununda Yapılan Düzenlemeler (Madde 116)</w:t>
      </w:r>
    </w:p>
    <w:p w:rsidR="002C12B0" w:rsidRDefault="007F0733" w:rsidP="00A1682A">
      <w:pPr>
        <w:jc w:val="both"/>
      </w:pPr>
      <w:r>
        <w:t xml:space="preserve">Yapılan değişiklikle aşağıda belirtilen taşlar %20 oranındaki ÖTV’ye tabi olmaktan çıkarılmıştır. Yukarıda belirtildiği üzere; bu taşların borsa dışı satışında KDV istisnası </w:t>
      </w:r>
      <w:proofErr w:type="spellStart"/>
      <w:r>
        <w:t>kaldırışdığı</w:t>
      </w:r>
      <w:proofErr w:type="spellEnd"/>
      <w:r>
        <w:t xml:space="preserve"> için teslimleri %18 oranında KDV’ye tabi hale getirilmiştir.</w:t>
      </w:r>
    </w:p>
    <w:tbl>
      <w:tblPr>
        <w:tblW w:w="8789" w:type="dxa"/>
        <w:jc w:val="center"/>
        <w:tblCellMar>
          <w:left w:w="0" w:type="dxa"/>
          <w:right w:w="0" w:type="dxa"/>
        </w:tblCellMar>
        <w:tblLook w:val="04A0" w:firstRow="1" w:lastRow="0" w:firstColumn="1" w:lastColumn="0" w:noHBand="0" w:noVBand="1"/>
      </w:tblPr>
      <w:tblGrid>
        <w:gridCol w:w="1839"/>
        <w:gridCol w:w="5040"/>
        <w:gridCol w:w="1910"/>
      </w:tblGrid>
      <w:tr w:rsidR="002C12B0" w:rsidRPr="002C12B0">
        <w:trPr>
          <w:trHeight w:val="454"/>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proofErr w:type="gramStart"/>
            <w:r w:rsidRPr="002C12B0">
              <w:rPr>
                <w:rFonts w:eastAsia="Times New Roman" w:cs="Times New Roman"/>
                <w:sz w:val="18"/>
                <w:szCs w:val="18"/>
                <w:u w:val="single"/>
                <w:lang w:eastAsia="tr-TR"/>
              </w:rPr>
              <w:lastRenderedPageBreak/>
              <w:t>G.T.İ</w:t>
            </w:r>
            <w:proofErr w:type="gramEnd"/>
            <w:r w:rsidRPr="002C12B0">
              <w:rPr>
                <w:rFonts w:eastAsia="Times New Roman" w:cs="Times New Roman"/>
                <w:sz w:val="18"/>
                <w:szCs w:val="18"/>
                <w:u w:val="single"/>
                <w:lang w:eastAsia="tr-TR"/>
              </w:rPr>
              <w:t>.P.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u w:val="single"/>
                <w:lang w:eastAsia="tr-TR"/>
              </w:rPr>
              <w:t>Mal İsmi</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u w:val="single"/>
                <w:lang w:eastAsia="tr-TR"/>
              </w:rPr>
              <w:t>Vergi Oranı (%)</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71.01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lang w:eastAsia="tr-TR"/>
              </w:rPr>
              <w:t>20</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71.02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after="0" w:line="240" w:lineRule="auto"/>
              <w:jc w:val="both"/>
              <w:rPr>
                <w:rFonts w:eastAsia="Times New Roman" w:cs="Times New Roman"/>
                <w:sz w:val="18"/>
                <w:szCs w:val="18"/>
                <w:lang w:eastAsia="tr-TR"/>
              </w:rPr>
            </w:pPr>
            <w:r w:rsidRPr="002C12B0">
              <w:rPr>
                <w:rFonts w:eastAsia="Times New Roman" w:cs="Times New Roman"/>
                <w:sz w:val="18"/>
                <w:szCs w:val="18"/>
                <w:lang w:eastAsia="tr-TR"/>
              </w:rPr>
              <w:t>Elmaslar (işlenmiş olsun olmasın, fakat mıhlanmamış veya takılmamış)</w:t>
            </w:r>
          </w:p>
          <w:p w:rsidR="002C12B0" w:rsidRPr="002C12B0" w:rsidRDefault="002C12B0" w:rsidP="002C12B0">
            <w:pPr>
              <w:spacing w:after="0" w:line="240" w:lineRule="auto"/>
              <w:jc w:val="both"/>
              <w:rPr>
                <w:rFonts w:eastAsia="Times New Roman" w:cs="Times New Roman"/>
                <w:sz w:val="18"/>
                <w:szCs w:val="18"/>
                <w:lang w:eastAsia="tr-TR"/>
              </w:rPr>
            </w:pPr>
            <w:r w:rsidRPr="002C12B0">
              <w:rPr>
                <w:rFonts w:eastAsia="Times New Roman" w:cs="Times New Roman"/>
                <w:sz w:val="18"/>
                <w:szCs w:val="18"/>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lang w:eastAsia="tr-TR"/>
              </w:rPr>
              <w:t>20</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71.03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after="0" w:line="240" w:lineRule="auto"/>
              <w:jc w:val="both"/>
              <w:rPr>
                <w:rFonts w:eastAsia="Times New Roman" w:cs="Times New Roman"/>
                <w:sz w:val="18"/>
                <w:szCs w:val="18"/>
                <w:lang w:eastAsia="tr-TR"/>
              </w:rPr>
            </w:pPr>
            <w:r w:rsidRPr="002C12B0">
              <w:rPr>
                <w:rFonts w:eastAsia="Times New Roman" w:cs="Times New Roman"/>
                <w:sz w:val="18"/>
                <w:szCs w:val="18"/>
                <w:lang w:eastAsia="tr-TR"/>
              </w:rPr>
              <w:t>Kıymetli taşlar (elmaslar hariç) veya yarı kıymetli taşlar (işlenmiş veya tasnife tabi tutulmuş olsun olmasın) (fakat ipliğe dizilmemiş, mıhlanmamış veya takılmamış); kıymetli taşlar (elmaslar hariç) veya yarı kıymetli taşlar</w:t>
            </w:r>
          </w:p>
          <w:p w:rsidR="002C12B0" w:rsidRPr="002C12B0" w:rsidRDefault="002C12B0" w:rsidP="002C12B0">
            <w:pPr>
              <w:spacing w:after="0" w:line="240" w:lineRule="auto"/>
              <w:jc w:val="both"/>
              <w:rPr>
                <w:rFonts w:eastAsia="Times New Roman" w:cs="Times New Roman"/>
                <w:sz w:val="18"/>
                <w:szCs w:val="18"/>
                <w:lang w:eastAsia="tr-TR"/>
              </w:rPr>
            </w:pPr>
            <w:r w:rsidRPr="002C12B0">
              <w:rPr>
                <w:rFonts w:eastAsia="Times New Roman" w:cs="Times New Roman"/>
                <w:sz w:val="18"/>
                <w:szCs w:val="18"/>
                <w:lang w:eastAsia="tr-TR"/>
              </w:rPr>
              <w:t>(tasnife tabi tutulmamış)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lang w:eastAsia="tr-TR"/>
              </w:rPr>
              <w:t>20</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7104.90.00.00.19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 xml:space="preserve">(Sanayide kullanılmayan sentetik veya terkip yoluyla elde edilen kıymetli veya yarı kıymetli taşlar) </w:t>
            </w:r>
          </w:p>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Diğerleri</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lang w:eastAsia="tr-TR"/>
              </w:rPr>
              <w:t>20</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71.05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Tabii veya sentetik, kıymetli veya yarı kıymetli taşların toz ve pudraları</w:t>
            </w:r>
          </w:p>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18"/>
                <w:szCs w:val="18"/>
                <w:lang w:eastAsia="tr-TR"/>
              </w:rPr>
            </w:pPr>
            <w:r w:rsidRPr="002C12B0">
              <w:rPr>
                <w:rFonts w:eastAsia="Times New Roman" w:cs="Times New Roman"/>
                <w:sz w:val="18"/>
                <w:szCs w:val="18"/>
                <w:lang w:eastAsia="tr-TR"/>
              </w:rPr>
              <w:t>20</w:t>
            </w:r>
          </w:p>
        </w:tc>
      </w:tr>
      <w:tr w:rsidR="002C12B0" w:rsidRPr="002C12B0">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rPr>
                <w:rFonts w:eastAsia="Times New Roman" w:cs="Times New Roman"/>
                <w:sz w:val="18"/>
                <w:szCs w:val="18"/>
                <w:lang w:eastAsia="tr-TR"/>
              </w:rPr>
            </w:pPr>
            <w:r w:rsidRPr="002C12B0">
              <w:rPr>
                <w:rFonts w:eastAsia="Times New Roman" w:cs="Times New Roman"/>
                <w:sz w:val="18"/>
                <w:szCs w:val="18"/>
                <w:lang w:eastAsia="tr-TR"/>
              </w:rPr>
              <w:t>71.16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2C12B0" w:rsidRPr="002C12B0" w:rsidRDefault="002C12B0" w:rsidP="002C12B0">
            <w:pPr>
              <w:spacing w:before="60" w:after="60" w:line="240" w:lineRule="auto"/>
              <w:jc w:val="both"/>
              <w:rPr>
                <w:rFonts w:eastAsia="Times New Roman" w:cs="Times New Roman"/>
                <w:sz w:val="18"/>
                <w:szCs w:val="18"/>
                <w:lang w:eastAsia="tr-TR"/>
              </w:rPr>
            </w:pPr>
            <w:r w:rsidRPr="002C12B0">
              <w:rPr>
                <w:rFonts w:eastAsia="Times New Roman" w:cs="Times New Roman"/>
                <w:sz w:val="18"/>
                <w:szCs w:val="18"/>
                <w:lang w:eastAsia="tr-TR"/>
              </w:rPr>
              <w:t>Tabii inci veya kültür incilerinden, kıymetli ya da yarı kıymetli taşlardan eşya (tabii, sentetik veya terkip yoluyla elde edilmiş)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12B0" w:rsidRPr="002C12B0" w:rsidRDefault="002C12B0" w:rsidP="002C12B0">
            <w:pPr>
              <w:spacing w:before="60" w:after="60" w:line="240" w:lineRule="auto"/>
              <w:jc w:val="center"/>
              <w:rPr>
                <w:rFonts w:eastAsia="Times New Roman" w:cs="Times New Roman"/>
                <w:sz w:val="24"/>
                <w:szCs w:val="24"/>
                <w:lang w:eastAsia="tr-TR"/>
              </w:rPr>
            </w:pPr>
            <w:r w:rsidRPr="002C12B0">
              <w:rPr>
                <w:rFonts w:eastAsia="Times New Roman" w:cs="Times New Roman"/>
                <w:sz w:val="18"/>
                <w:szCs w:val="18"/>
                <w:lang w:eastAsia="tr-TR"/>
              </w:rPr>
              <w:t>20</w:t>
            </w:r>
          </w:p>
        </w:tc>
      </w:tr>
    </w:tbl>
    <w:p w:rsidR="002C12B0" w:rsidRPr="007F0733" w:rsidRDefault="002C12B0" w:rsidP="00A1682A">
      <w:pPr>
        <w:jc w:val="both"/>
      </w:pPr>
    </w:p>
    <w:p w:rsidR="009E5B6E" w:rsidRDefault="009E5B6E" w:rsidP="00A1682A">
      <w:pPr>
        <w:jc w:val="both"/>
      </w:pPr>
    </w:p>
    <w:p w:rsidR="00105F7B" w:rsidRDefault="00105F7B" w:rsidP="00A1682A">
      <w:pPr>
        <w:jc w:val="both"/>
      </w:pPr>
    </w:p>
    <w:sectPr w:rsidR="00105F7B" w:rsidSect="00FA1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D566E"/>
    <w:multiLevelType w:val="hybridMultilevel"/>
    <w:tmpl w:val="D1484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2"/>
    <w:rsid w:val="00105F7B"/>
    <w:rsid w:val="00180C30"/>
    <w:rsid w:val="001A7B00"/>
    <w:rsid w:val="002A7CD0"/>
    <w:rsid w:val="002C12B0"/>
    <w:rsid w:val="003560BA"/>
    <w:rsid w:val="003D7A33"/>
    <w:rsid w:val="00510AA7"/>
    <w:rsid w:val="005D65E0"/>
    <w:rsid w:val="0072066E"/>
    <w:rsid w:val="00730E8E"/>
    <w:rsid w:val="007617C5"/>
    <w:rsid w:val="007F0733"/>
    <w:rsid w:val="007F2486"/>
    <w:rsid w:val="00814860"/>
    <w:rsid w:val="00921971"/>
    <w:rsid w:val="00947952"/>
    <w:rsid w:val="009E5B6E"/>
    <w:rsid w:val="00A1682A"/>
    <w:rsid w:val="00A64FCE"/>
    <w:rsid w:val="00AB2392"/>
    <w:rsid w:val="00AD25CC"/>
    <w:rsid w:val="00BC7FAE"/>
    <w:rsid w:val="00CB190F"/>
    <w:rsid w:val="00DA7908"/>
    <w:rsid w:val="00EB3759"/>
    <w:rsid w:val="00F95657"/>
    <w:rsid w:val="00FA1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3</cp:revision>
  <dcterms:created xsi:type="dcterms:W3CDTF">2014-09-22T09:03:00Z</dcterms:created>
  <dcterms:modified xsi:type="dcterms:W3CDTF">2014-09-22T09:14:00Z</dcterms:modified>
</cp:coreProperties>
</file>