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18" w:rsidRDefault="00744018" w:rsidP="00744018">
      <w:pPr>
        <w:pStyle w:val="NoSpacing"/>
        <w:jc w:val="both"/>
        <w:rPr>
          <w:b/>
        </w:rPr>
      </w:pPr>
    </w:p>
    <w:p w:rsidR="00FB61C0" w:rsidRPr="00744018" w:rsidRDefault="00744018" w:rsidP="00744018">
      <w:pPr>
        <w:pStyle w:val="NoSpacing"/>
        <w:jc w:val="both"/>
        <w:rPr>
          <w:b/>
        </w:rPr>
      </w:pPr>
      <w:r>
        <w:rPr>
          <w:b/>
        </w:rPr>
        <w:t>IATA Acenteleri Dikkatine;</w:t>
      </w:r>
    </w:p>
    <w:p w:rsidR="00DE5CBB" w:rsidRDefault="00C07778" w:rsidP="00744018">
      <w:pPr>
        <w:pStyle w:val="NoSpacing"/>
        <w:jc w:val="both"/>
      </w:pPr>
      <w:r>
        <w:t>IATA (Uluslararası Hava Taşımacılığı Birliği) kuruluşuna, ödeme kartı işlemleri ve potansiyel veri ihlalleriyle ilişkili riskler hakkında yapılan tavsiyeler çerçevesinde, BSP (Banka Ödeme Planı) dahilinde faaliyet göstermekte olan Akredite Edilmiş Acentelerin, Ödeme Kartı Endüstrisi (PSI) Veri Güvenliği Standardına (DSS) uyumlu olduklarına yönelik bir teyit gerekmektedir.</w:t>
      </w:r>
    </w:p>
    <w:p w:rsidR="00C07778" w:rsidRDefault="00C07778" w:rsidP="00744018">
      <w:pPr>
        <w:pStyle w:val="NoSpacing"/>
        <w:jc w:val="both"/>
      </w:pPr>
    </w:p>
    <w:p w:rsidR="004947D3" w:rsidRDefault="00C07778" w:rsidP="00744018">
      <w:pPr>
        <w:pStyle w:val="NoSpacing"/>
        <w:jc w:val="both"/>
      </w:pPr>
      <w:r>
        <w:t xml:space="preserve">1 Haziran 2017 tarihinden itibaren, </w:t>
      </w:r>
      <w:r w:rsidR="00EA2AE0">
        <w:t>Yolculara Yönelik Acente Satışları Kuralları Karar 818g kapsamında, IATA Akreditasyonuna sahi</w:t>
      </w:r>
      <w:r w:rsidR="00744018">
        <w:t>p</w:t>
      </w:r>
      <w:r w:rsidR="00EA2AE0">
        <w:t xml:space="preserve"> bir Acente olmak ve söz konusu Akreditasyonu</w:t>
      </w:r>
      <w:r w:rsidR="004D76F7">
        <w:t>, Akreditasyonun geçerli olduğu tüm mahallerde</w:t>
      </w:r>
      <w:r w:rsidR="00EA2AE0">
        <w:t xml:space="preserve"> sürdürmek için,</w:t>
      </w:r>
      <w:r w:rsidR="004D76F7">
        <w:t xml:space="preserve"> PCI DSS uyumluluğu zorunlu bir koşul haline gelecektir. PCI DSS güvenlik standartlarına uyumlu olunmaması, </w:t>
      </w:r>
      <w:r w:rsidR="004947D3">
        <w:t>acenteniz için 2 uyumsuzluk halinin kayıtlara geçirilmesiyle sonuçlanabilir.</w:t>
      </w:r>
    </w:p>
    <w:p w:rsidR="004947D3" w:rsidRDefault="004947D3" w:rsidP="00744018">
      <w:pPr>
        <w:pStyle w:val="NoSpacing"/>
        <w:jc w:val="both"/>
      </w:pPr>
    </w:p>
    <w:p w:rsidR="004947D3" w:rsidRPr="00744018" w:rsidRDefault="004947D3" w:rsidP="00744018">
      <w:pPr>
        <w:pStyle w:val="NoSpacing"/>
        <w:jc w:val="both"/>
        <w:rPr>
          <w:b/>
        </w:rPr>
      </w:pPr>
      <w:r w:rsidRPr="00744018">
        <w:rPr>
          <w:b/>
        </w:rPr>
        <w:t>PCI DSS nedir?</w:t>
      </w:r>
    </w:p>
    <w:p w:rsidR="00C07778" w:rsidRDefault="004947D3" w:rsidP="00744018">
      <w:pPr>
        <w:pStyle w:val="NoSpacing"/>
        <w:jc w:val="both"/>
      </w:pPr>
      <w:r>
        <w:t xml:space="preserve">Ödeme Kartı Endüstrisi Güvenlik Standartları Konseyi kurucu üyeleri American Express, Discover Financial Services, JCB International, MasterCard ve Visa kuruluşlarıdır. Konseyin misyonu, </w:t>
      </w:r>
      <w:r w:rsidR="00AC62B4">
        <w:t>hassas ödeme kartı bilgilerini kullanan tüccar ve işlemcilerin</w:t>
      </w:r>
      <w:r w:rsidR="009A2E4E">
        <w:t>, giderek artan biçimde</w:t>
      </w:r>
      <w:r w:rsidR="00AC62B4">
        <w:t xml:space="preserve"> PCI Veri Güvenliği Standardını </w:t>
      </w:r>
      <w:r w:rsidR="00EA2AE0">
        <w:t xml:space="preserve"> </w:t>
      </w:r>
      <w:r w:rsidR="009A2E4E">
        <w:t>benimsemelerini sağlayacak ödeme kartı güvenliğini arttırmaktır. Konsey, hesap verilerinin korunmasına yönelik güvenlik standartlarının</w:t>
      </w:r>
      <w:r w:rsidR="00F87BC0">
        <w:t xml:space="preserve"> sürekli olarak</w:t>
      </w:r>
      <w:r w:rsidR="009A2E4E">
        <w:t xml:space="preserve"> geliştirilmesi, iyileştirilmesi, saklanması, yayılması ve uygulanmasına yönelik </w:t>
      </w:r>
      <w:r w:rsidR="00F87BC0">
        <w:t xml:space="preserve">global bir forum niteliğinde olup, gizli ödeme kartı bilgilerinin hırsızlığa karşı korunması amacıyla global ölçekte ortak veri güvenliği standartları öngörür. </w:t>
      </w:r>
      <w:r w:rsidR="00CA1178">
        <w:t>Ödeme kartı verilerini saklayan, işleyen ve ileten tüm varlıkların, ödeme kartı güvenliğini korumaya yönelik teknik ve operasyonel koşullar niteliğindeki PCI güvenlik standartlarına uyması şarttır.</w:t>
      </w:r>
    </w:p>
    <w:p w:rsidR="00CA1178" w:rsidRDefault="00CA1178" w:rsidP="00744018">
      <w:pPr>
        <w:pStyle w:val="NoSpacing"/>
        <w:jc w:val="both"/>
      </w:pPr>
    </w:p>
    <w:p w:rsidR="00CA1178" w:rsidRPr="00744018" w:rsidRDefault="00CA1178" w:rsidP="00744018">
      <w:pPr>
        <w:pStyle w:val="NoSpacing"/>
        <w:jc w:val="both"/>
        <w:rPr>
          <w:b/>
        </w:rPr>
      </w:pPr>
      <w:r w:rsidRPr="00744018">
        <w:rPr>
          <w:b/>
        </w:rPr>
        <w:t>PCI DSS uyu</w:t>
      </w:r>
      <w:r w:rsidR="00540E8B" w:rsidRPr="00744018">
        <w:rPr>
          <w:b/>
        </w:rPr>
        <w:t xml:space="preserve">mluluğu bir acente olarak benim </w:t>
      </w:r>
      <w:r w:rsidRPr="00744018">
        <w:rPr>
          <w:b/>
        </w:rPr>
        <w:t>için ne anlam ifade ediyor?</w:t>
      </w:r>
    </w:p>
    <w:p w:rsidR="00540E8B" w:rsidRDefault="00540E8B" w:rsidP="00744018">
      <w:pPr>
        <w:pStyle w:val="NoSpacing"/>
        <w:jc w:val="both"/>
      </w:pPr>
      <w:r>
        <w:t>Kart hamili verilerinin ihlali veya çalınması,</w:t>
      </w:r>
      <w:r w:rsidR="005B47BE">
        <w:t xml:space="preserve"> zincirleme bir etkiye sebebiyet vererek </w:t>
      </w:r>
      <w:r>
        <w:t xml:space="preserve">tüm ödeme kartı endüstrisini olumsuz yönde etkiler; </w:t>
      </w:r>
      <w:r w:rsidR="005B47BE">
        <w:t xml:space="preserve">müşteriler tüccarlara veya finansal kurumlara yönelik güvenlerini yitirir, müşterilerin kredileri olumsuz yönde etkilenebilir, ve bu durumun çok ciddi kişisel yansımaları söz konusu olabilir. Tüccarlar ve finansal kurumlar güvenilirliklerini (ve bunun sonucunda işlerini) yitirebilir ve kart hamili verilerinin çalınması sonucu çok sayıda finansal yükümlülükle karşı karşıya kalırlar. Dolayısıyla PCI DSS uyumu, Uluslararası Kartla Ödeme Planları </w:t>
      </w:r>
      <w:r w:rsidR="00AF46AD">
        <w:t>tarafından dünya genelinde zorunlu kılınmıştır. Dolayısıyla, kendi ticari anlaşmanız kapsamında kart ödemelerini kabul ettiğinizde ve/veya BSP kartı ödemeleri gerçekleştirdiğinizde, PCI DSS uyum yükümlülüklerine tabi hale gelmektesiniz.</w:t>
      </w:r>
    </w:p>
    <w:p w:rsidR="00AF46AD" w:rsidRDefault="00AF46AD" w:rsidP="00744018">
      <w:pPr>
        <w:pStyle w:val="NoSpacing"/>
        <w:jc w:val="both"/>
      </w:pPr>
    </w:p>
    <w:p w:rsidR="00AF46AD" w:rsidRPr="00744018" w:rsidRDefault="00AF46AD" w:rsidP="00744018">
      <w:pPr>
        <w:pStyle w:val="NoSpacing"/>
        <w:jc w:val="both"/>
        <w:rPr>
          <w:b/>
        </w:rPr>
      </w:pPr>
      <w:r w:rsidRPr="00744018">
        <w:rPr>
          <w:b/>
        </w:rPr>
        <w:t>PCI uyumluluğunun seyahat acenteleri için önemi</w:t>
      </w:r>
      <w:r w:rsidR="00744018">
        <w:rPr>
          <w:b/>
        </w:rPr>
        <w:t>;</w:t>
      </w:r>
    </w:p>
    <w:p w:rsidR="00AF46AD" w:rsidRDefault="00AF46AD" w:rsidP="00744018">
      <w:pPr>
        <w:pStyle w:val="NoSpacing"/>
        <w:jc w:val="both"/>
      </w:pPr>
      <w:r>
        <w:t>IATA Akreditasyonuna sahip Acenteler için PCI DSS uyumluluğunun sağlanması bir gerekliliktir. PCI DSS uyumluluğu, hassas ödeme kartı verilerinin tüketicilerin korunması ve faydalanması amacıyla gizli bir biçimde kullanılmasını sağlayacak, dağıtım zincirindeki tüm taraflara fayda sağlar. PCI DSS uyumluluğu, IATA Yolcu Acentesi Konferansı Karar 890 dahilinde kendisine atıfta bulunulan bir kriter niteliğindedir.</w:t>
      </w:r>
    </w:p>
    <w:p w:rsidR="00AF46AD" w:rsidRDefault="00AF46AD" w:rsidP="00744018">
      <w:pPr>
        <w:pStyle w:val="NoSpacing"/>
        <w:jc w:val="both"/>
      </w:pPr>
    </w:p>
    <w:p w:rsidR="00AF46AD" w:rsidRPr="00744018" w:rsidRDefault="00AF46AD" w:rsidP="00744018">
      <w:pPr>
        <w:pStyle w:val="NoSpacing"/>
        <w:jc w:val="both"/>
        <w:rPr>
          <w:b/>
        </w:rPr>
      </w:pPr>
      <w:r w:rsidRPr="00744018">
        <w:rPr>
          <w:b/>
        </w:rPr>
        <w:t>PCI DSS uyumluluğunda IATA kuruluşunun rolü</w:t>
      </w:r>
      <w:r w:rsidR="00744018">
        <w:rPr>
          <w:b/>
        </w:rPr>
        <w:t>;</w:t>
      </w:r>
    </w:p>
    <w:p w:rsidR="003E0A2C" w:rsidRDefault="00AF46AD" w:rsidP="00744018">
      <w:pPr>
        <w:pStyle w:val="NoSpacing"/>
        <w:jc w:val="both"/>
      </w:pPr>
      <w:r>
        <w:t xml:space="preserve">IATA, BSPlink gibi endüstri iletişim kanalları ve veri işleme sistemlerinin PCI DSS uyumluluğuna sahip olmasını şart koşmak suretiyle PCI DSS uyumluluğunu desteklemektedir. Ayrıca, IATA, ödeme kartlarının kimlik teşhis etme </w:t>
      </w:r>
      <w:r w:rsidR="00C27EA9">
        <w:t>yöntemi veya check-in kulübeleri gibi self-servis ortak kullanım terminallerinde ödeme yöntemi olarak kullanıldığı standartlar tesis etmektedir. Son olarak, IATA, tüm hizmet sağlayıcılarının PCI DSS uyumlu olmasını v</w:t>
      </w:r>
      <w:r w:rsidR="003E0A2C">
        <w:t xml:space="preserve">e uyumluluğun geçerli biçimde sağlandığına yönelik kanıtları IATA kuruluşuna yıllık olarak ibraz etmesini talep etmektedir. </w:t>
      </w:r>
    </w:p>
    <w:p w:rsidR="003E0A2C" w:rsidRDefault="003E0A2C" w:rsidP="00744018">
      <w:pPr>
        <w:pStyle w:val="NoSpacing"/>
        <w:jc w:val="both"/>
      </w:pPr>
    </w:p>
    <w:p w:rsidR="003E0A2C" w:rsidRPr="00744018" w:rsidRDefault="003E0A2C" w:rsidP="00744018">
      <w:pPr>
        <w:pStyle w:val="NoSpacing"/>
        <w:jc w:val="both"/>
        <w:rPr>
          <w:b/>
        </w:rPr>
      </w:pPr>
      <w:r w:rsidRPr="00744018">
        <w:rPr>
          <w:b/>
        </w:rPr>
        <w:t>Nasıl PCI DSS uyumlu hale gelebileceğinize yönelik daha fazla bilgi</w:t>
      </w:r>
      <w:r w:rsidR="00744018" w:rsidRPr="00744018">
        <w:rPr>
          <w:b/>
        </w:rPr>
        <w:t>;</w:t>
      </w:r>
    </w:p>
    <w:p w:rsidR="00AF46AD" w:rsidRDefault="003E0A2C" w:rsidP="00744018">
      <w:pPr>
        <w:pStyle w:val="NoSpacing"/>
        <w:jc w:val="both"/>
      </w:pPr>
      <w:r>
        <w:t>Mevcut ve gelecekteki IATA Akreditasyonuna sahip Ace</w:t>
      </w:r>
      <w:r w:rsidR="008E4FD6">
        <w:t>ntelere</w:t>
      </w:r>
      <w:r>
        <w:t>, nasıl PCI DSS uyumlu hale gelebilecekleri, delil elde edebilecekle</w:t>
      </w:r>
      <w:r w:rsidR="008E4FD6">
        <w:t xml:space="preserve">ri veya uyumluluklarının geçerlilik sürelerini uzatacakları hakkında daha fazla bilgi edinmeleri yönünde </w:t>
      </w:r>
      <w:r>
        <w:t xml:space="preserve"> </w:t>
      </w:r>
      <w:r w:rsidR="008E4FD6">
        <w:t xml:space="preserve">yardımcı olmak amacıyla, lütfen </w:t>
      </w:r>
      <w:hyperlink r:id="rId4" w:history="1">
        <w:r w:rsidR="008E4FD6" w:rsidRPr="002F3C25">
          <w:rPr>
            <w:rStyle w:val="Hyperlink"/>
          </w:rPr>
          <w:t>www.iata.org/pci-dss</w:t>
        </w:r>
      </w:hyperlink>
      <w:r w:rsidR="008E4FD6">
        <w:t xml:space="preserve"> adresini ziyaret ediniz.</w:t>
      </w:r>
    </w:p>
    <w:p w:rsidR="008E4FD6" w:rsidRDefault="008E4FD6" w:rsidP="00744018">
      <w:pPr>
        <w:pStyle w:val="NoSpacing"/>
        <w:jc w:val="both"/>
      </w:pPr>
    </w:p>
    <w:p w:rsidR="008E4FD6" w:rsidRDefault="008E4FD6" w:rsidP="00744018">
      <w:pPr>
        <w:pStyle w:val="NoSpacing"/>
        <w:jc w:val="both"/>
      </w:pPr>
      <w:r>
        <w:t>Daha fazla bilgiye ihtiyaç duymanız halinde lütfen IATA Müşteri Portalı yoluyla Müşteri Hizmetlerimizle irtibat kurmaktan çekinmeyiniz.</w:t>
      </w:r>
    </w:p>
    <w:p w:rsidR="008E4FD6" w:rsidRDefault="008E4FD6" w:rsidP="00744018">
      <w:pPr>
        <w:pStyle w:val="NoSpacing"/>
        <w:jc w:val="both"/>
      </w:pPr>
    </w:p>
    <w:p w:rsidR="008E4FD6" w:rsidRDefault="008E4FD6" w:rsidP="00744018">
      <w:pPr>
        <w:pStyle w:val="NoSpacing"/>
        <w:jc w:val="both"/>
      </w:pPr>
      <w:r>
        <w:t>En iyi dileklerimizle,</w:t>
      </w:r>
    </w:p>
    <w:p w:rsidR="008E4FD6" w:rsidRDefault="008E4FD6" w:rsidP="00744018">
      <w:pPr>
        <w:pStyle w:val="NoSpacing"/>
        <w:jc w:val="both"/>
      </w:pPr>
      <w:r>
        <w:t>Acente Yönetim Ekibiniz</w:t>
      </w:r>
    </w:p>
    <w:p w:rsidR="008E4FD6" w:rsidRDefault="008E4FD6" w:rsidP="00744018">
      <w:pPr>
        <w:jc w:val="both"/>
      </w:pPr>
      <w:r>
        <w:br w:type="page"/>
      </w:r>
    </w:p>
    <w:p w:rsidR="008E4FD6" w:rsidRPr="00744018" w:rsidRDefault="008E4FD6" w:rsidP="00744018">
      <w:pPr>
        <w:pStyle w:val="NoSpacing"/>
        <w:jc w:val="both"/>
        <w:rPr>
          <w:b/>
        </w:rPr>
      </w:pPr>
      <w:r w:rsidRPr="00744018">
        <w:rPr>
          <w:b/>
        </w:rPr>
        <w:lastRenderedPageBreak/>
        <w:t>PCI DSS uyumluluğu için kiminle temas kurmalıyım?</w:t>
      </w:r>
    </w:p>
    <w:p w:rsidR="008E4FD6" w:rsidRDefault="00293B18" w:rsidP="00744018">
      <w:pPr>
        <w:pStyle w:val="NoSpacing"/>
        <w:jc w:val="both"/>
      </w:pPr>
      <w:r>
        <w:t>Edinicinizle temas kurmanınızı öneririz</w:t>
      </w:r>
    </w:p>
    <w:p w:rsidR="00293B18" w:rsidRDefault="00293B18" w:rsidP="00744018">
      <w:pPr>
        <w:pStyle w:val="NoSpacing"/>
        <w:jc w:val="both"/>
      </w:pPr>
    </w:p>
    <w:p w:rsidR="00293B18" w:rsidRPr="00744018" w:rsidRDefault="00293B18" w:rsidP="00744018">
      <w:pPr>
        <w:pStyle w:val="NoSpacing"/>
        <w:jc w:val="both"/>
        <w:rPr>
          <w:b/>
        </w:rPr>
      </w:pPr>
      <w:r w:rsidRPr="00744018">
        <w:rPr>
          <w:b/>
        </w:rPr>
        <w:t>Edinicimin herhangi bir doküman talep etmemiş olması halinde ne yapmalıyım?</w:t>
      </w:r>
    </w:p>
    <w:p w:rsidR="00293B18" w:rsidRDefault="00293B18" w:rsidP="00744018">
      <w:pPr>
        <w:pStyle w:val="NoSpacing"/>
        <w:jc w:val="both"/>
      </w:pPr>
      <w:r>
        <w:t xml:space="preserve">Ediniciniz herhangi bir uyumluluk delili talep etmemişse, </w:t>
      </w:r>
      <w:r w:rsidR="00647B32">
        <w:t>PCI DSS uyumluluğuna sahip olma sorumluluğu kredi kartı işlemleri işlemesi yapan her bir tüzel kişiye aittir.</w:t>
      </w:r>
    </w:p>
    <w:p w:rsidR="00647B32" w:rsidRDefault="00647B32" w:rsidP="00744018">
      <w:pPr>
        <w:pStyle w:val="NoSpacing"/>
        <w:jc w:val="both"/>
      </w:pPr>
    </w:p>
    <w:p w:rsidR="00647B32" w:rsidRPr="00744018" w:rsidRDefault="00647B32" w:rsidP="00744018">
      <w:pPr>
        <w:pStyle w:val="NoSpacing"/>
        <w:jc w:val="both"/>
        <w:rPr>
          <w:b/>
        </w:rPr>
      </w:pPr>
      <w:r w:rsidRPr="00744018">
        <w:rPr>
          <w:b/>
        </w:rPr>
        <w:t>Bir edinicim olmaması halinde ne yapmalıyım?</w:t>
      </w:r>
    </w:p>
    <w:p w:rsidR="00647B32" w:rsidRDefault="00647B32" w:rsidP="00744018">
      <w:pPr>
        <w:pStyle w:val="NoSpacing"/>
        <w:jc w:val="both"/>
      </w:pPr>
      <w:r>
        <w:t>Çalışmakta olduğunuz kredi kartı şubesiyle temas kurmanızı öneririz.</w:t>
      </w:r>
    </w:p>
    <w:p w:rsidR="00647B32" w:rsidRDefault="00647B32" w:rsidP="00744018">
      <w:pPr>
        <w:pStyle w:val="NoSpacing"/>
        <w:jc w:val="both"/>
      </w:pPr>
    </w:p>
    <w:p w:rsidR="00647B32" w:rsidRPr="00744018" w:rsidRDefault="00647B32" w:rsidP="00744018">
      <w:pPr>
        <w:pStyle w:val="NoSpacing"/>
        <w:jc w:val="both"/>
        <w:rPr>
          <w:b/>
        </w:rPr>
      </w:pPr>
      <w:r w:rsidRPr="00744018">
        <w:rPr>
          <w:b/>
        </w:rPr>
        <w:t>Ödeme kartı markalarıyla nasıl temas kurabilirim?</w:t>
      </w:r>
    </w:p>
    <w:p w:rsidR="00647B32" w:rsidRDefault="00647B32" w:rsidP="00744018">
      <w:pPr>
        <w:pStyle w:val="NoSpacing"/>
        <w:jc w:val="both"/>
      </w:pPr>
      <w:r>
        <w:t>Kartla ödeme markalarının irtibat detayları aşağıda yer almaktadır:</w:t>
      </w:r>
    </w:p>
    <w:p w:rsidR="00647B32" w:rsidRDefault="00647B32" w:rsidP="00744018">
      <w:pPr>
        <w:pStyle w:val="NoSpacing"/>
        <w:jc w:val="both"/>
      </w:pPr>
      <w:r>
        <w:t>. American Express</w:t>
      </w:r>
    </w:p>
    <w:p w:rsidR="00647B32" w:rsidRDefault="00647B32" w:rsidP="00744018">
      <w:pPr>
        <w:pStyle w:val="NoSpacing"/>
        <w:jc w:val="both"/>
      </w:pPr>
      <w:r>
        <w:t>. Discover</w:t>
      </w:r>
      <w:bookmarkStart w:id="0" w:name="_GoBack"/>
      <w:bookmarkEnd w:id="0"/>
    </w:p>
    <w:p w:rsidR="00647B32" w:rsidRDefault="00647B32" w:rsidP="00744018">
      <w:pPr>
        <w:pStyle w:val="NoSpacing"/>
        <w:jc w:val="both"/>
      </w:pPr>
      <w:r>
        <w:t>. JCB International</w:t>
      </w:r>
    </w:p>
    <w:p w:rsidR="00647B32" w:rsidRDefault="00647B32" w:rsidP="00744018">
      <w:pPr>
        <w:pStyle w:val="NoSpacing"/>
        <w:jc w:val="both"/>
      </w:pPr>
      <w:r>
        <w:t>. MasterCard</w:t>
      </w:r>
    </w:p>
    <w:p w:rsidR="00647B32" w:rsidRDefault="00647B32" w:rsidP="00744018">
      <w:pPr>
        <w:pStyle w:val="NoSpacing"/>
        <w:jc w:val="both"/>
      </w:pPr>
      <w:r>
        <w:t>. Vısa Inc</w:t>
      </w:r>
    </w:p>
    <w:p w:rsidR="00647B32" w:rsidRDefault="00647B32" w:rsidP="00744018">
      <w:pPr>
        <w:pStyle w:val="NoSpacing"/>
        <w:jc w:val="both"/>
      </w:pPr>
    </w:p>
    <w:p w:rsidR="00647B32" w:rsidRPr="00744018" w:rsidRDefault="00647B32" w:rsidP="00744018">
      <w:pPr>
        <w:pStyle w:val="NoSpacing"/>
        <w:jc w:val="both"/>
        <w:rPr>
          <w:b/>
        </w:rPr>
      </w:pPr>
      <w:r w:rsidRPr="00744018">
        <w:rPr>
          <w:b/>
        </w:rPr>
        <w:t xml:space="preserve">Neden birden fazla PCI DSS Öz Değerlendirme </w:t>
      </w:r>
      <w:r w:rsidR="005814D1" w:rsidRPr="00744018">
        <w:rPr>
          <w:b/>
        </w:rPr>
        <w:t>Anketi</w:t>
      </w:r>
      <w:r w:rsidRPr="00744018">
        <w:rPr>
          <w:b/>
        </w:rPr>
        <w:t xml:space="preserve"> mevcut?</w:t>
      </w:r>
    </w:p>
    <w:p w:rsidR="00647B32" w:rsidRDefault="00647B32" w:rsidP="00744018">
      <w:pPr>
        <w:pStyle w:val="NoSpacing"/>
        <w:jc w:val="both"/>
      </w:pPr>
      <w:r>
        <w:t>H</w:t>
      </w:r>
      <w:r w:rsidR="00BF5A6A">
        <w:t xml:space="preserve">er bir öz değerlendirme </w:t>
      </w:r>
      <w:r w:rsidR="005814D1">
        <w:t>anketi</w:t>
      </w:r>
      <w:r w:rsidR="00BF5A6A">
        <w:t xml:space="preserve"> belirli bir ortam için geçerlidir; dolayısıyla tüm tüccar ve hizmet sağlayıcıların, öz değerlendirme sürecinden geçerken doğru öz değerlendirme </w:t>
      </w:r>
      <w:r w:rsidR="005814D1">
        <w:t>anketini</w:t>
      </w:r>
      <w:r w:rsidR="00BF5A6A">
        <w:t xml:space="preserve"> seçmeleri son derece önemlidir. Pek çok durumda, şirketler, doldurmak istedikleri öz değerlendirme </w:t>
      </w:r>
      <w:r w:rsidR="005814D1">
        <w:t xml:space="preserve">anketine </w:t>
      </w:r>
      <w:r w:rsidR="00BF5A6A">
        <w:t xml:space="preserve">yönelik gerekli kriterleri karşılayamadıklarını fark edecek, ve bunun sonucu olarak, </w:t>
      </w:r>
      <w:r w:rsidR="002A67B5">
        <w:t>işleme koymaları oldukça zor gözüken bir dizi PCI DSS kriteriyle karşı karşıya olduklarını düşüneceklerdir. Bu, şirke</w:t>
      </w:r>
      <w:r w:rsidR="005814D1">
        <w:t>t</w:t>
      </w:r>
      <w:r w:rsidR="002A67B5">
        <w:t xml:space="preserve"> profilinize en uygun öz değerlendirme </w:t>
      </w:r>
      <w:r w:rsidR="005814D1">
        <w:t>anketini</w:t>
      </w:r>
      <w:r w:rsidR="002A67B5">
        <w:t xml:space="preserve"> belirlemenin ne kadar önemli olduğunu ortaya koymaktadır.</w:t>
      </w:r>
    </w:p>
    <w:p w:rsidR="002A67B5" w:rsidRDefault="002A67B5" w:rsidP="00744018">
      <w:pPr>
        <w:pStyle w:val="NoSpacing"/>
        <w:jc w:val="both"/>
      </w:pPr>
    </w:p>
    <w:p w:rsidR="002A67B5" w:rsidRPr="00744018" w:rsidRDefault="00B077D5" w:rsidP="00744018">
      <w:pPr>
        <w:pStyle w:val="NoSpacing"/>
        <w:jc w:val="both"/>
        <w:rPr>
          <w:b/>
        </w:rPr>
      </w:pPr>
      <w:r w:rsidRPr="00744018">
        <w:rPr>
          <w:b/>
        </w:rPr>
        <w:t>PCI DSS doğrulaması kapsamında uyum sertifikaları tanınır mı?</w:t>
      </w:r>
    </w:p>
    <w:p w:rsidR="002A67B5" w:rsidRDefault="00B077D5" w:rsidP="00744018">
      <w:pPr>
        <w:pStyle w:val="NoSpacing"/>
        <w:jc w:val="both"/>
      </w:pPr>
      <w:r>
        <w:t>Hayır, tanınmaz. PCI DSS yetki ve doğrulaması kapsamında bulunmayan hiçbir belge, şirketin PCI DSS uyumluluğuna yönelik bir gösterge olarak kabul edilmez.</w:t>
      </w:r>
    </w:p>
    <w:p w:rsidR="00B077D5" w:rsidRDefault="00B077D5" w:rsidP="00744018">
      <w:pPr>
        <w:pStyle w:val="NoSpacing"/>
        <w:jc w:val="both"/>
      </w:pPr>
    </w:p>
    <w:p w:rsidR="00B077D5" w:rsidRPr="00744018" w:rsidRDefault="008E25D8" w:rsidP="00744018">
      <w:pPr>
        <w:pStyle w:val="NoSpacing"/>
        <w:jc w:val="both"/>
        <w:rPr>
          <w:b/>
        </w:rPr>
      </w:pPr>
      <w:r w:rsidRPr="00744018">
        <w:rPr>
          <w:b/>
        </w:rPr>
        <w:t>PCI DSS uyumluluğu delili sunamamam halinde IATA hangi uyumsuzluk eyleminde bulunacaktır?</w:t>
      </w:r>
    </w:p>
    <w:p w:rsidR="008E25D8" w:rsidRDefault="008E25D8" w:rsidP="00744018">
      <w:pPr>
        <w:pStyle w:val="NoSpacing"/>
        <w:jc w:val="both"/>
      </w:pPr>
      <w:r>
        <w:t>PCI DSS uyumluluğuna yönelik delil sunmaya muvaffak olamayan acenteler için 2 uyumsuzluk hali kayıtlara geçirilir.</w:t>
      </w:r>
    </w:p>
    <w:p w:rsidR="008E25D8" w:rsidRDefault="008E25D8" w:rsidP="00744018">
      <w:pPr>
        <w:pStyle w:val="NoSpacing"/>
        <w:jc w:val="both"/>
      </w:pPr>
    </w:p>
    <w:p w:rsidR="008E25D8" w:rsidRPr="00744018" w:rsidRDefault="008E25D8" w:rsidP="00744018">
      <w:pPr>
        <w:pStyle w:val="NoSpacing"/>
        <w:jc w:val="both"/>
        <w:rPr>
          <w:b/>
        </w:rPr>
      </w:pPr>
      <w:r w:rsidRPr="00744018">
        <w:rPr>
          <w:b/>
        </w:rPr>
        <w:t>PCI DSS uyumluluğuna sahip bir acente olduğumu kanıtlamam için IATA kuruluşuna hangi belgeleri sunmam gerekir?</w:t>
      </w:r>
    </w:p>
    <w:p w:rsidR="008E25D8" w:rsidRDefault="008E25D8" w:rsidP="00744018">
      <w:pPr>
        <w:pStyle w:val="NoSpacing"/>
        <w:jc w:val="both"/>
      </w:pPr>
      <w:r>
        <w:t>Acenteler tarafından kendi kart satışları ve BSP kart satışları çerçevesinde kullandırtılan kart işlemlerinin sayısına bağlı olarak, IATA kuruluşuna ibraz etmeniz gereken belgeler değişiklik gösterir. Lütfen PCI DSS Uyumluluk Prosedürü bölümüne başvurunuz.</w:t>
      </w:r>
    </w:p>
    <w:p w:rsidR="008E25D8" w:rsidRDefault="008E25D8" w:rsidP="00744018">
      <w:pPr>
        <w:pStyle w:val="NoSpacing"/>
        <w:jc w:val="both"/>
      </w:pPr>
    </w:p>
    <w:p w:rsidR="008E25D8" w:rsidRPr="00744018" w:rsidRDefault="008E25D8" w:rsidP="00744018">
      <w:pPr>
        <w:pStyle w:val="NoSpacing"/>
        <w:jc w:val="both"/>
        <w:rPr>
          <w:b/>
        </w:rPr>
      </w:pPr>
      <w:r w:rsidRPr="00744018">
        <w:rPr>
          <w:b/>
        </w:rPr>
        <w:t xml:space="preserve">Uyumluluk </w:t>
      </w:r>
      <w:r w:rsidR="005814D1" w:rsidRPr="00744018">
        <w:rPr>
          <w:b/>
        </w:rPr>
        <w:t>tasdiki nedir?</w:t>
      </w:r>
    </w:p>
    <w:p w:rsidR="005814D1" w:rsidRDefault="005814D1" w:rsidP="00744018">
      <w:pPr>
        <w:pStyle w:val="NoSpacing"/>
        <w:jc w:val="both"/>
      </w:pPr>
      <w:r>
        <w:t xml:space="preserve">Uyumluluk tasdiki, öz değerlendirme </w:t>
      </w:r>
      <w:r w:rsidR="00EB1F26">
        <w:t xml:space="preserve">anketini yapma hakkına sahip olduğunuzu gösteren bir belgelendirmedir. PCI DSS öz değerlendirme anketinin kendisi, uyumluluk tasdikine dahil edilmiş olup, iki bölümden oluşur: PCI DSS kriterlerine tekabül eden bir dizi soru ve Uyumluluk Tasdiki. </w:t>
      </w:r>
      <w:r w:rsidR="00970A1E">
        <w:t xml:space="preserve">Uyumluluk tasdiki, hizmet sağlayıcının Ödeme Kartı Endüstrisi Veri Güvenliği Standart Krtierleri ve Güvenlik Değerlendirme Prosedürlerine (PCI DSS) yönelik değerlendirme sonuçlarının ilanı olarak doldurulmalıdır. </w:t>
      </w:r>
    </w:p>
    <w:p w:rsidR="00970A1E" w:rsidRDefault="00970A1E" w:rsidP="00744018">
      <w:pPr>
        <w:pStyle w:val="NoSpacing"/>
        <w:jc w:val="both"/>
      </w:pPr>
    </w:p>
    <w:p w:rsidR="00970A1E" w:rsidRPr="00744018" w:rsidRDefault="00970A1E" w:rsidP="00744018">
      <w:pPr>
        <w:pStyle w:val="NoSpacing"/>
        <w:jc w:val="both"/>
        <w:rPr>
          <w:b/>
        </w:rPr>
      </w:pPr>
      <w:r w:rsidRPr="00744018">
        <w:rPr>
          <w:b/>
        </w:rPr>
        <w:t>Uçak biletleri kesimi ve satışı yapan bir seyahat profesyoneli olarak, ben bir tüccar kabul ediliyor muyum?</w:t>
      </w:r>
    </w:p>
    <w:p w:rsidR="00970A1E" w:rsidRDefault="00840CFC" w:rsidP="00744018">
      <w:pPr>
        <w:pStyle w:val="NoSpacing"/>
        <w:jc w:val="both"/>
      </w:pPr>
      <w:r>
        <w:t>Bir GDS (Global Dağıtım Sistemi) ve IATA BSP yoluyla gerçekleştirilen tüm havayolu işlemlerinde, seyahat acentesi değil, havayolunun kendisi tüccar olarak kabul edilir.</w:t>
      </w:r>
    </w:p>
    <w:p w:rsidR="00840CFC" w:rsidRPr="00744018" w:rsidRDefault="00744018" w:rsidP="00744018">
      <w:pPr>
        <w:pStyle w:val="NoSpacing"/>
        <w:jc w:val="both"/>
        <w:rPr>
          <w:b/>
        </w:rPr>
      </w:pPr>
      <w:r>
        <w:rPr>
          <w:b/>
        </w:rPr>
        <w:br/>
      </w:r>
      <w:r w:rsidR="00840CFC" w:rsidRPr="00744018">
        <w:rPr>
          <w:b/>
        </w:rPr>
        <w:t>PCI konusuyla ilgili daha fazla bilgi edinmek için nerelere başvurmalıyım?</w:t>
      </w:r>
    </w:p>
    <w:p w:rsidR="00840CFC" w:rsidRDefault="00744018" w:rsidP="00744018">
      <w:pPr>
        <w:pStyle w:val="NoSpacing"/>
        <w:jc w:val="both"/>
      </w:pPr>
      <w:hyperlink r:id="rId5" w:history="1">
        <w:r w:rsidR="00840CFC" w:rsidRPr="002F3C25">
          <w:rPr>
            <w:rStyle w:val="Hyperlink"/>
          </w:rPr>
          <w:t>https://www.pcisecuritystandards.org</w:t>
        </w:r>
      </w:hyperlink>
    </w:p>
    <w:p w:rsidR="00840CFC" w:rsidRDefault="00744018" w:rsidP="00744018">
      <w:pPr>
        <w:pStyle w:val="NoSpacing"/>
        <w:jc w:val="both"/>
      </w:pPr>
      <w:hyperlink r:id="rId6" w:history="1">
        <w:r w:rsidR="00840CFC" w:rsidRPr="002F3C25">
          <w:rPr>
            <w:rStyle w:val="Hyperlink"/>
          </w:rPr>
          <w:t>https://www.pcisecuritystandards.org/security_standards/pci_dss.shtml</w:t>
        </w:r>
      </w:hyperlink>
    </w:p>
    <w:p w:rsidR="00840CFC" w:rsidRDefault="00736DE1" w:rsidP="00744018">
      <w:pPr>
        <w:pStyle w:val="NoSpacing"/>
        <w:jc w:val="both"/>
      </w:pPr>
      <w:r>
        <w:t xml:space="preserve">İşbu e-posta </w:t>
      </w:r>
      <w:hyperlink r:id="rId7" w:history="1">
        <w:r w:rsidRPr="002F3C25">
          <w:rPr>
            <w:rStyle w:val="Hyperlink"/>
          </w:rPr>
          <w:t>troyes@fab-travel.com</w:t>
        </w:r>
      </w:hyperlink>
      <w:r>
        <w:t xml:space="preserve"> adresine gönderilmiştir</w:t>
      </w:r>
    </w:p>
    <w:p w:rsidR="00736DE1" w:rsidRDefault="00736DE1" w:rsidP="00744018">
      <w:pPr>
        <w:pStyle w:val="NoSpacing"/>
        <w:jc w:val="both"/>
      </w:pPr>
      <w:r>
        <w:t>İşbu e-posta IATA tarafından gönderilmiştir</w:t>
      </w:r>
    </w:p>
    <w:p w:rsidR="00736DE1" w:rsidRDefault="00736DE1" w:rsidP="00744018">
      <w:pPr>
        <w:pStyle w:val="NoSpacing"/>
        <w:jc w:val="both"/>
      </w:pPr>
      <w:r>
        <w:t>33, Rue de l’Aeroport, PK 416 Geneva 15 Airport, Cenevre 1215 İsviçre</w:t>
      </w:r>
    </w:p>
    <w:sectPr w:rsidR="00736DE1" w:rsidSect="00847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CA"/>
    <w:rsid w:val="000F3159"/>
    <w:rsid w:val="00127C5D"/>
    <w:rsid w:val="00293B18"/>
    <w:rsid w:val="002A67B5"/>
    <w:rsid w:val="00345B34"/>
    <w:rsid w:val="003E0A2C"/>
    <w:rsid w:val="004947D3"/>
    <w:rsid w:val="004D76F7"/>
    <w:rsid w:val="00540E8B"/>
    <w:rsid w:val="005814D1"/>
    <w:rsid w:val="005B47BE"/>
    <w:rsid w:val="00647B32"/>
    <w:rsid w:val="00656BA1"/>
    <w:rsid w:val="00736DE1"/>
    <w:rsid w:val="00744018"/>
    <w:rsid w:val="007C589F"/>
    <w:rsid w:val="00840CFC"/>
    <w:rsid w:val="00847773"/>
    <w:rsid w:val="008E25D8"/>
    <w:rsid w:val="008E4FD6"/>
    <w:rsid w:val="00970A1E"/>
    <w:rsid w:val="009A2E4E"/>
    <w:rsid w:val="00AC62B4"/>
    <w:rsid w:val="00AF46AD"/>
    <w:rsid w:val="00B077D5"/>
    <w:rsid w:val="00BF5A6A"/>
    <w:rsid w:val="00C07778"/>
    <w:rsid w:val="00C27EA9"/>
    <w:rsid w:val="00CA1178"/>
    <w:rsid w:val="00CB6CCA"/>
    <w:rsid w:val="00DE5CBB"/>
    <w:rsid w:val="00EA2AE0"/>
    <w:rsid w:val="00EB1F26"/>
    <w:rsid w:val="00F87BC0"/>
    <w:rsid w:val="00FB61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A8C7"/>
  <w15:docId w15:val="{7E249EFF-400D-4B7C-A38D-F2F01AFE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1C0"/>
    <w:pPr>
      <w:spacing w:after="0" w:line="240" w:lineRule="auto"/>
    </w:pPr>
  </w:style>
  <w:style w:type="character" w:styleId="Hyperlink">
    <w:name w:val="Hyperlink"/>
    <w:basedOn w:val="DefaultParagraphFont"/>
    <w:uiPriority w:val="99"/>
    <w:unhideWhenUsed/>
    <w:rsid w:val="008E4FD6"/>
    <w:rPr>
      <w:color w:val="0563C1" w:themeColor="hyperlink"/>
      <w:u w:val="single"/>
    </w:rPr>
  </w:style>
  <w:style w:type="character" w:styleId="FollowedHyperlink">
    <w:name w:val="FollowedHyperlink"/>
    <w:basedOn w:val="DefaultParagraphFont"/>
    <w:uiPriority w:val="99"/>
    <w:semiHidden/>
    <w:unhideWhenUsed/>
    <w:rsid w:val="007C5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oyes@fab-trav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isecuritystandards.org/security_standards/pci_dss.shtml" TargetMode="External"/><Relationship Id="rId5" Type="http://schemas.openxmlformats.org/officeDocument/2006/relationships/hyperlink" Target="https://www.pcisecuritystandards.org" TargetMode="External"/><Relationship Id="rId4" Type="http://schemas.openxmlformats.org/officeDocument/2006/relationships/hyperlink" Target="http://www.iata.org/pci-dss"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Numan Olcar</cp:lastModifiedBy>
  <cp:revision>2</cp:revision>
  <dcterms:created xsi:type="dcterms:W3CDTF">2017-02-13T18:44:00Z</dcterms:created>
  <dcterms:modified xsi:type="dcterms:W3CDTF">2017-02-13T18:44:00Z</dcterms:modified>
</cp:coreProperties>
</file>