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E0" w:rsidRDefault="007717E0" w:rsidP="007717E0">
      <w:pPr>
        <w:pStyle w:val="p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Acentelerimiz,</w:t>
      </w:r>
    </w:p>
    <w:p w:rsidR="007717E0" w:rsidRDefault="007717E0" w:rsidP="007717E0">
      <w:pPr>
        <w:pStyle w:val="p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 Eylül 2014 tarihinden itibaren uygulayacağımız yeni bir teşvik kampanyasını siz değerli acentelerimizle paylaşmaktan mutluluk duyarız.</w:t>
      </w:r>
    </w:p>
    <w:p w:rsidR="007717E0" w:rsidRDefault="007717E0" w:rsidP="007717E0">
      <w:pPr>
        <w:pStyle w:val="p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Acentelerimiz 2014 – 2015 sezonu kış tarifesi boyunca, yeni hatlarımızda uçmasını sağlayacakları, her 10 yolcu için KDV </w:t>
      </w:r>
      <w:proofErr w:type="gramStart"/>
      <w:r>
        <w:rPr>
          <w:color w:val="000000"/>
          <w:sz w:val="27"/>
          <w:szCs w:val="27"/>
        </w:rPr>
        <w:t>dahil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150,00 TL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tutarında ekstra kazanım elde edeceklerdir.</w:t>
      </w:r>
    </w:p>
    <w:p w:rsidR="007717E0" w:rsidRDefault="007717E0" w:rsidP="007717E0">
      <w:pPr>
        <w:pStyle w:val="p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Kampanya koşulları aşağıdaki gibidir;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1)Teşvik kampanyamız yeni filomuzla operasyon yapacağımız aşağıdaki parkurlar için geçerli olacaktır. Belirtilen parkurlar dışında seyahat edecek yolcularımıza düzenlenen biletler hesaplamalara katılmayacaktır.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İstanbul – İzmir, İzmir – İstanbul, İstanbul – Adana, Adana – İstanbul, İstanbul – Ankara, Ankara – İstanbul, İstanbul – Trabzon, Trabzon – İstanbul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Kampanyamız 22 Eylül 2014 - 28 Mart 2015 tarihleri arasında satılan biletler ve 22 Eylül 2014 – 28 Mart 2015 tarihleri arasında icra edeceğimiz uçuşlarımız için geçerlidir. (Not: Bir defaya mahsus olmak üzere Eylül ve Ekim ayları kazanımları birlikte hesaplanacaktır.)</w:t>
      </w:r>
    </w:p>
    <w:p w:rsidR="007717E0" w:rsidRDefault="007717E0" w:rsidP="007717E0">
      <w:pPr>
        <w:pStyle w:val="p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Teşvik tutarı yolcularınızın uçuşunu gerçekleştirdiği her 10 parkur için geçerli olmak üzere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150,00 TL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olarak belirlenmiştir. Teşvik tutarları en az 10 olmak üzere 10 ve 10’un katları </w:t>
      </w:r>
      <w:proofErr w:type="gramStart"/>
      <w:r>
        <w:rPr>
          <w:color w:val="000000"/>
          <w:sz w:val="27"/>
          <w:szCs w:val="27"/>
        </w:rPr>
        <w:t>baz</w:t>
      </w:r>
      <w:proofErr w:type="gramEnd"/>
      <w:r>
        <w:rPr>
          <w:color w:val="000000"/>
          <w:sz w:val="27"/>
          <w:szCs w:val="27"/>
        </w:rPr>
        <w:t xml:space="preserve"> alınarak hesaplanacaktır. Kampanya içeriği herhangi bir üst limit barındırmamaktadır. Örnek hesaplama tablosu aşağıda sunulmuştur;</w:t>
      </w:r>
    </w:p>
    <w:p w:rsidR="007717E0" w:rsidRDefault="007717E0" w:rsidP="007717E0">
      <w:pPr>
        <w:pStyle w:val="p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10 parkur = 150,00 TL</w:t>
      </w:r>
    </w:p>
    <w:p w:rsidR="007717E0" w:rsidRDefault="007717E0" w:rsidP="007717E0">
      <w:pPr>
        <w:pStyle w:val="p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13 parkur = 150,00 TL</w:t>
      </w:r>
    </w:p>
    <w:p w:rsidR="007717E0" w:rsidRDefault="007717E0" w:rsidP="007717E0">
      <w:pPr>
        <w:pStyle w:val="p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20 parkur = 300,00 TL</w:t>
      </w:r>
    </w:p>
    <w:p w:rsidR="007717E0" w:rsidRDefault="007717E0" w:rsidP="007717E0">
      <w:pPr>
        <w:pStyle w:val="p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39 parkur = 450,00 TL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4)Teşvik tutarları takip eden her ayın ilk haftasında hesaplanarak acentelerimize tebliğ edilecektir, mutabık kalınan tutar için acente en geç ilgili ayın 15’ine kadar BORAJET </w:t>
      </w:r>
      <w:proofErr w:type="spellStart"/>
      <w:r>
        <w:rPr>
          <w:color w:val="000000"/>
          <w:sz w:val="27"/>
          <w:szCs w:val="27"/>
        </w:rPr>
        <w:t>HAVAYOLLARI’na</w:t>
      </w:r>
      <w:proofErr w:type="spellEnd"/>
      <w:r>
        <w:rPr>
          <w:color w:val="000000"/>
          <w:sz w:val="27"/>
          <w:szCs w:val="27"/>
        </w:rPr>
        <w:t xml:space="preserve"> mutabık kalınan teşvik tutarı kadar, teşvik faturası göndermelidir. İlgili ayın en geç 15’ine kadar teşvik faturasını BORAJET </w:t>
      </w:r>
      <w:proofErr w:type="spellStart"/>
      <w:r>
        <w:rPr>
          <w:color w:val="000000"/>
          <w:sz w:val="27"/>
          <w:szCs w:val="27"/>
        </w:rPr>
        <w:t>HAVAYOLLARI’na</w:t>
      </w:r>
      <w:proofErr w:type="spellEnd"/>
      <w:r>
        <w:rPr>
          <w:color w:val="000000"/>
          <w:sz w:val="27"/>
          <w:szCs w:val="27"/>
        </w:rPr>
        <w:t xml:space="preserve"> ulaştırmayan acentelerimiz kampanyadan yararlanamayacaktır.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5)Teşvik tutarları takip eden ayın en geç 21’ine kadar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 xml:space="preserve">kampanya için özel oluşturulacak acente </w:t>
      </w:r>
      <w:proofErr w:type="spellStart"/>
      <w:r>
        <w:rPr>
          <w:rStyle w:val="s2"/>
          <w:color w:val="000000"/>
          <w:sz w:val="27"/>
          <w:szCs w:val="27"/>
        </w:rPr>
        <w:t>invoice</w:t>
      </w:r>
      <w:proofErr w:type="spellEnd"/>
      <w:r>
        <w:rPr>
          <w:rStyle w:val="s2"/>
          <w:color w:val="000000"/>
          <w:sz w:val="27"/>
          <w:szCs w:val="27"/>
        </w:rPr>
        <w:t xml:space="preserve"> hesaplarına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tanımlanacaktır.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6)Teşvik tutarı sadece kampanya </w:t>
      </w:r>
      <w:proofErr w:type="gramStart"/>
      <w:r>
        <w:rPr>
          <w:color w:val="000000"/>
          <w:sz w:val="27"/>
          <w:szCs w:val="27"/>
        </w:rPr>
        <w:t>dahilindeki</w:t>
      </w:r>
      <w:proofErr w:type="gramEnd"/>
      <w:r>
        <w:rPr>
          <w:color w:val="000000"/>
          <w:sz w:val="27"/>
          <w:szCs w:val="27"/>
        </w:rPr>
        <w:t xml:space="preserve"> parkurlarda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2"/>
          <w:color w:val="000000"/>
          <w:sz w:val="27"/>
          <w:szCs w:val="27"/>
        </w:rPr>
        <w:t>uçuşunu gerçekleştirmiş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yolcularımızı kapsamaktadır. İptal/İade biletler yapılacak hesaplamalara </w:t>
      </w:r>
      <w:proofErr w:type="gramStart"/>
      <w:r>
        <w:rPr>
          <w:color w:val="000000"/>
          <w:sz w:val="27"/>
          <w:szCs w:val="27"/>
        </w:rPr>
        <w:t>dahil</w:t>
      </w:r>
      <w:proofErr w:type="gramEnd"/>
      <w:r>
        <w:rPr>
          <w:color w:val="000000"/>
          <w:sz w:val="27"/>
          <w:szCs w:val="27"/>
        </w:rPr>
        <w:t xml:space="preserve"> edilmeyecektir.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7)Çocuk (CHD) ve Bebek (INF) yolcuların gerçekleştirdiği parkurlar kampanya </w:t>
      </w:r>
      <w:proofErr w:type="gramStart"/>
      <w:r>
        <w:rPr>
          <w:color w:val="000000"/>
          <w:sz w:val="27"/>
          <w:szCs w:val="27"/>
        </w:rPr>
        <w:t>dahilinde</w:t>
      </w:r>
      <w:proofErr w:type="gramEnd"/>
      <w:r>
        <w:rPr>
          <w:color w:val="000000"/>
          <w:sz w:val="27"/>
          <w:szCs w:val="27"/>
        </w:rPr>
        <w:t xml:space="preserve"> değerlendirilmeyecektir.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8)Teşvik tutarları sadece bilet satışlarında kullanılabilecek ve nakit karşılığı bulunmayacak olup, acente teşvik tutarını BORAJET </w:t>
      </w:r>
      <w:proofErr w:type="spellStart"/>
      <w:r>
        <w:rPr>
          <w:color w:val="000000"/>
          <w:sz w:val="27"/>
          <w:szCs w:val="27"/>
        </w:rPr>
        <w:t>HAVAYOLLARI’ndan</w:t>
      </w:r>
      <w:proofErr w:type="spellEnd"/>
      <w:r>
        <w:rPr>
          <w:color w:val="000000"/>
          <w:sz w:val="27"/>
          <w:szCs w:val="27"/>
        </w:rPr>
        <w:t xml:space="preserve"> nakit olarak talep edemeyecektir.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9)Teşvik tutarları tanımlandığı günden itibaren takip eden ayın son gününe kadar </w:t>
      </w:r>
      <w:proofErr w:type="spellStart"/>
      <w:r>
        <w:rPr>
          <w:color w:val="000000"/>
          <w:sz w:val="27"/>
          <w:szCs w:val="27"/>
        </w:rPr>
        <w:t>kullanılmadğı</w:t>
      </w:r>
      <w:proofErr w:type="spellEnd"/>
      <w:r>
        <w:rPr>
          <w:color w:val="000000"/>
          <w:sz w:val="27"/>
          <w:szCs w:val="27"/>
        </w:rPr>
        <w:t xml:space="preserve"> takdirde geçerliliğini yitirecek, bir sonraki aya devretmeyecektir.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10)XML bağlantısı aracılığı ile satış yapan acentelerin XML satışları kampanya kapsamında değerlendirilmeyecektir.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11)Acentelerimizden gelen grup taleplerine istinaden BORAJET HAVAYOLLARI tarafından oluşturulan grup </w:t>
      </w:r>
      <w:proofErr w:type="spellStart"/>
      <w:r>
        <w:rPr>
          <w:color w:val="000000"/>
          <w:sz w:val="27"/>
          <w:szCs w:val="27"/>
        </w:rPr>
        <w:t>PNR’ları</w:t>
      </w:r>
      <w:proofErr w:type="spellEnd"/>
      <w:r>
        <w:rPr>
          <w:color w:val="000000"/>
          <w:sz w:val="27"/>
          <w:szCs w:val="27"/>
        </w:rPr>
        <w:t xml:space="preserve"> kampanya kapsamında değerlendirilmeyecektir.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12)Kampanya hakkında</w:t>
      </w:r>
      <w:r>
        <w:rPr>
          <w:rStyle w:val="apple-converted-space"/>
          <w:color w:val="000000"/>
          <w:sz w:val="27"/>
          <w:szCs w:val="27"/>
        </w:rPr>
        <w:t> </w:t>
      </w:r>
      <w:hyperlink r:id="rId4" w:history="1">
        <w:r>
          <w:rPr>
            <w:rStyle w:val="s3"/>
            <w:color w:val="0000FF"/>
            <w:sz w:val="27"/>
            <w:szCs w:val="27"/>
            <w:u w:val="single"/>
          </w:rPr>
          <w:t>talep@borajet.com.tr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adresine e-posta gönderebilir ya da 0212 468 28 78’i arayarak Acente Destek Departmanı’ndan bilgi alabilirsiniz.</w:t>
      </w:r>
    </w:p>
    <w:p w:rsidR="007717E0" w:rsidRDefault="007717E0" w:rsidP="007717E0">
      <w:pPr>
        <w:pStyle w:val="p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13)Hesaplamalar yapılırken yalnızca BORAJET </w:t>
      </w:r>
      <w:proofErr w:type="spellStart"/>
      <w:r>
        <w:rPr>
          <w:color w:val="000000"/>
          <w:sz w:val="27"/>
          <w:szCs w:val="27"/>
        </w:rPr>
        <w:t>HAVAYOLLARI’nın</w:t>
      </w:r>
      <w:proofErr w:type="spellEnd"/>
      <w:r>
        <w:rPr>
          <w:color w:val="000000"/>
          <w:sz w:val="27"/>
          <w:szCs w:val="27"/>
        </w:rPr>
        <w:t xml:space="preserve"> kayıtları geçerli olacaktır.</w:t>
      </w:r>
    </w:p>
    <w:p w:rsidR="007717E0" w:rsidRDefault="007717E0" w:rsidP="007717E0">
      <w:pPr>
        <w:pStyle w:val="p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</w:t>
      </w:r>
      <w:proofErr w:type="spellStart"/>
      <w:r>
        <w:rPr>
          <w:color w:val="000000"/>
          <w:sz w:val="27"/>
          <w:szCs w:val="27"/>
        </w:rPr>
        <w:t>Borajet</w:t>
      </w:r>
      <w:proofErr w:type="spellEnd"/>
      <w:r>
        <w:rPr>
          <w:color w:val="000000"/>
          <w:sz w:val="27"/>
          <w:szCs w:val="27"/>
        </w:rPr>
        <w:t xml:space="preserve"> Havayolları kampanya şartları ve süresinde değişiklik yapma hakkını saklı tutar.</w:t>
      </w:r>
    </w:p>
    <w:p w:rsidR="007717E0" w:rsidRDefault="007717E0" w:rsidP="007717E0">
      <w:pPr>
        <w:pStyle w:val="p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15)Kampanyamız sadece TC veya KKTC merkezli acentelerimiz için geçerlidir.</w:t>
      </w:r>
    </w:p>
    <w:p w:rsidR="007717E0" w:rsidRDefault="007717E0" w:rsidP="007717E0">
      <w:pPr>
        <w:pStyle w:val="p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16)Promosyon sınıflardan düzenlenen biletler kampanya kapsamında değerlendirilmeyecektir.</w:t>
      </w:r>
    </w:p>
    <w:p w:rsidR="000561F9" w:rsidRDefault="000561F9">
      <w:bookmarkStart w:id="0" w:name="_GoBack"/>
      <w:bookmarkEnd w:id="0"/>
    </w:p>
    <w:sectPr w:rsidR="0005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E0"/>
    <w:rsid w:val="000561F9"/>
    <w:rsid w:val="007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A435-70A9-4856-A5FB-0ADF0EC8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77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7E0"/>
  </w:style>
  <w:style w:type="paragraph" w:customStyle="1" w:styleId="p2">
    <w:name w:val="p2"/>
    <w:basedOn w:val="Normal"/>
    <w:rsid w:val="0077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3">
    <w:name w:val="p3"/>
    <w:basedOn w:val="Normal"/>
    <w:rsid w:val="0077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7717E0"/>
  </w:style>
  <w:style w:type="character" w:customStyle="1" w:styleId="s3">
    <w:name w:val="s3"/>
    <w:basedOn w:val="VarsaylanParagrafYazTipi"/>
    <w:rsid w:val="007717E0"/>
  </w:style>
  <w:style w:type="paragraph" w:customStyle="1" w:styleId="p4">
    <w:name w:val="p4"/>
    <w:basedOn w:val="Normal"/>
    <w:rsid w:val="0077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ep@borajet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2014-11-28T14:57:00Z</dcterms:created>
  <dcterms:modified xsi:type="dcterms:W3CDTF">2014-11-28T14:58:00Z</dcterms:modified>
</cp:coreProperties>
</file>