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BA" w:rsidRDefault="004900BA" w:rsidP="004900BA"/>
    <w:p w:rsidR="00F60EE3" w:rsidRPr="009D7F2A" w:rsidRDefault="00F60EE3" w:rsidP="00687531">
      <w:pPr>
        <w:shd w:val="clear" w:color="auto" w:fill="8DB3E2" w:themeFill="text2" w:themeFillTint="66"/>
        <w:rPr>
          <w:b/>
          <w:sz w:val="36"/>
          <w:szCs w:val="36"/>
        </w:rPr>
      </w:pPr>
      <w:r w:rsidRPr="009D7F2A">
        <w:rPr>
          <w:b/>
          <w:sz w:val="36"/>
          <w:szCs w:val="36"/>
        </w:rPr>
        <w:t>TURİZM</w:t>
      </w:r>
      <w:r w:rsidR="00DB545A">
        <w:rPr>
          <w:b/>
          <w:sz w:val="36"/>
          <w:szCs w:val="36"/>
        </w:rPr>
        <w:t xml:space="preserve"> SEKTÖRÜ</w:t>
      </w:r>
      <w:r w:rsidR="00C926D5">
        <w:rPr>
          <w:b/>
          <w:sz w:val="36"/>
          <w:szCs w:val="36"/>
        </w:rPr>
        <w:t xml:space="preserve">NÜN </w:t>
      </w:r>
      <w:r w:rsidR="009D7F2A">
        <w:rPr>
          <w:b/>
          <w:sz w:val="36"/>
          <w:szCs w:val="36"/>
        </w:rPr>
        <w:t>KREDİ</w:t>
      </w:r>
      <w:r w:rsidR="00C926D5">
        <w:rPr>
          <w:b/>
          <w:sz w:val="36"/>
          <w:szCs w:val="36"/>
        </w:rPr>
        <w:t>BİLİTESİ ARTIYOR</w:t>
      </w:r>
    </w:p>
    <w:p w:rsidR="00C926D5" w:rsidRDefault="001C4354" w:rsidP="004B4485">
      <w:pPr>
        <w:jc w:val="both"/>
        <w:rPr>
          <w:sz w:val="24"/>
          <w:szCs w:val="24"/>
        </w:rPr>
      </w:pPr>
      <w:r>
        <w:rPr>
          <w:sz w:val="24"/>
          <w:szCs w:val="24"/>
        </w:rPr>
        <w:t xml:space="preserve">TÜRSAB Ar-Ge Departmanı tarafından </w:t>
      </w:r>
      <w:r w:rsidR="004900BA" w:rsidRPr="0082779B">
        <w:rPr>
          <w:sz w:val="24"/>
          <w:szCs w:val="24"/>
        </w:rPr>
        <w:t>Bankacılık Düzenleme ve Denetleme Kurumu (BDDK) veriler</w:t>
      </w:r>
      <w:r>
        <w:rPr>
          <w:sz w:val="24"/>
          <w:szCs w:val="24"/>
        </w:rPr>
        <w:t xml:space="preserve">inden derlenen bilgilere göre; </w:t>
      </w:r>
      <w:r w:rsidR="00C926D5">
        <w:rPr>
          <w:sz w:val="24"/>
          <w:szCs w:val="24"/>
        </w:rPr>
        <w:t>2014 yılının ilk çeyreği</w:t>
      </w:r>
      <w:r w:rsidR="0058345B">
        <w:rPr>
          <w:sz w:val="24"/>
          <w:szCs w:val="24"/>
        </w:rPr>
        <w:t xml:space="preserve"> itibariyle </w:t>
      </w:r>
      <w:r w:rsidR="00C926D5">
        <w:rPr>
          <w:sz w:val="24"/>
          <w:szCs w:val="24"/>
        </w:rPr>
        <w:t>bankaların turizm sektörüne açtıkları kredi 2012 yılının aynı dönemine göre yüzde 71, 2013’ün ilk çeyreğine göre ise yüzde 39,35 oranında arttı.</w:t>
      </w:r>
    </w:p>
    <w:p w:rsidR="00C926D5" w:rsidRDefault="00C926D5" w:rsidP="004B4485">
      <w:pPr>
        <w:jc w:val="both"/>
        <w:rPr>
          <w:sz w:val="24"/>
          <w:szCs w:val="24"/>
        </w:rPr>
      </w:pPr>
      <w:r>
        <w:rPr>
          <w:sz w:val="24"/>
          <w:szCs w:val="24"/>
        </w:rPr>
        <w:t>BDDK verilerine göre 201</w:t>
      </w:r>
      <w:r w:rsidR="00273AAD">
        <w:rPr>
          <w:sz w:val="24"/>
          <w:szCs w:val="24"/>
        </w:rPr>
        <w:t>0</w:t>
      </w:r>
      <w:r>
        <w:rPr>
          <w:sz w:val="24"/>
          <w:szCs w:val="24"/>
        </w:rPr>
        <w:t xml:space="preserve"> yılının ilk üç aylık dönemi</w:t>
      </w:r>
      <w:r w:rsidR="0012631B">
        <w:rPr>
          <w:sz w:val="24"/>
          <w:szCs w:val="24"/>
        </w:rPr>
        <w:t xml:space="preserve"> sonunda </w:t>
      </w:r>
      <w:r>
        <w:rPr>
          <w:sz w:val="24"/>
          <w:szCs w:val="24"/>
        </w:rPr>
        <w:t xml:space="preserve">bankaların turizm sektörüne kullandırdığı kredi miktarı </w:t>
      </w:r>
      <w:r w:rsidR="00273AAD">
        <w:rPr>
          <w:sz w:val="24"/>
          <w:szCs w:val="24"/>
        </w:rPr>
        <w:t xml:space="preserve">5 milyar 867 milyon 96 bin TL seviyesinde iken </w:t>
      </w:r>
      <w:r w:rsidR="00F62C6D">
        <w:rPr>
          <w:sz w:val="24"/>
          <w:szCs w:val="24"/>
        </w:rPr>
        <w:t>2011 yılında 12 milyar 323 milyon 553 bin TL, 201</w:t>
      </w:r>
      <w:r w:rsidR="00CB5239">
        <w:rPr>
          <w:sz w:val="24"/>
          <w:szCs w:val="24"/>
        </w:rPr>
        <w:t>2</w:t>
      </w:r>
      <w:bookmarkStart w:id="0" w:name="_GoBack"/>
      <w:bookmarkEnd w:id="0"/>
      <w:r w:rsidR="00F62C6D">
        <w:rPr>
          <w:sz w:val="24"/>
          <w:szCs w:val="24"/>
        </w:rPr>
        <w:t xml:space="preserve"> yılında ise 15 milyar 661 milyon 77 bin TL düzeyine yükseldi. 2013 yılının ilk çeyreği</w:t>
      </w:r>
      <w:r w:rsidR="0058345B">
        <w:rPr>
          <w:sz w:val="24"/>
          <w:szCs w:val="24"/>
        </w:rPr>
        <w:t xml:space="preserve"> itibariyle </w:t>
      </w:r>
      <w:r>
        <w:rPr>
          <w:sz w:val="24"/>
          <w:szCs w:val="24"/>
        </w:rPr>
        <w:t xml:space="preserve">19 milyar 217 milyon 528 bin TL </w:t>
      </w:r>
      <w:r w:rsidR="00F62C6D">
        <w:rPr>
          <w:sz w:val="24"/>
          <w:szCs w:val="24"/>
        </w:rPr>
        <w:t>kredi açılan turizm sektörüne bu yılın ilk üç aylık dönemi</w:t>
      </w:r>
      <w:r w:rsidR="0058345B">
        <w:rPr>
          <w:sz w:val="24"/>
          <w:szCs w:val="24"/>
        </w:rPr>
        <w:t xml:space="preserve"> itibariyle s</w:t>
      </w:r>
      <w:r w:rsidR="00F62C6D">
        <w:rPr>
          <w:sz w:val="24"/>
          <w:szCs w:val="24"/>
        </w:rPr>
        <w:t xml:space="preserve">ağlanan kredi miktarı </w:t>
      </w:r>
      <w:r>
        <w:rPr>
          <w:sz w:val="24"/>
          <w:szCs w:val="24"/>
        </w:rPr>
        <w:t>26 milyar 781 milyon 417 bin TL seviyesin</w:t>
      </w:r>
      <w:r w:rsidR="00F62C6D">
        <w:rPr>
          <w:sz w:val="24"/>
          <w:szCs w:val="24"/>
        </w:rPr>
        <w:t>d</w:t>
      </w:r>
      <w:r>
        <w:rPr>
          <w:sz w:val="24"/>
          <w:szCs w:val="24"/>
        </w:rPr>
        <w:t>e</w:t>
      </w:r>
      <w:r w:rsidR="00F62C6D">
        <w:rPr>
          <w:sz w:val="24"/>
          <w:szCs w:val="24"/>
        </w:rPr>
        <w:t xml:space="preserve"> oldu. </w:t>
      </w:r>
    </w:p>
    <w:p w:rsidR="00C926D5" w:rsidRDefault="00C926D5" w:rsidP="004900BA">
      <w:pPr>
        <w:rPr>
          <w:sz w:val="24"/>
          <w:szCs w:val="24"/>
        </w:rPr>
      </w:pPr>
      <w:r>
        <w:rPr>
          <w:noProof/>
          <w:sz w:val="24"/>
          <w:szCs w:val="24"/>
          <w:lang w:eastAsia="tr-TR"/>
        </w:rPr>
        <w:drawing>
          <wp:inline distT="0" distB="0" distL="0" distR="0">
            <wp:extent cx="6216650" cy="3200400"/>
            <wp:effectExtent l="38100" t="95250" r="88900" b="381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62C6D" w:rsidRPr="004B667D" w:rsidRDefault="0058345B" w:rsidP="004900BA">
      <w:pPr>
        <w:rPr>
          <w:b/>
          <w:sz w:val="28"/>
          <w:szCs w:val="28"/>
        </w:rPr>
      </w:pPr>
      <w:r w:rsidRPr="004B667D">
        <w:rPr>
          <w:b/>
          <w:sz w:val="28"/>
          <w:szCs w:val="28"/>
        </w:rPr>
        <w:t>TURİZM SEKTÖRÜ</w:t>
      </w:r>
      <w:r>
        <w:rPr>
          <w:b/>
          <w:sz w:val="28"/>
          <w:szCs w:val="28"/>
        </w:rPr>
        <w:t xml:space="preserve">NÜN </w:t>
      </w:r>
      <w:r w:rsidR="004B667D" w:rsidRPr="004B667D">
        <w:rPr>
          <w:b/>
          <w:sz w:val="28"/>
          <w:szCs w:val="28"/>
        </w:rPr>
        <w:t>TAKİBE GİREN KREDİ</w:t>
      </w:r>
      <w:r>
        <w:rPr>
          <w:b/>
          <w:sz w:val="28"/>
          <w:szCs w:val="28"/>
        </w:rPr>
        <w:t xml:space="preserve"> BORCU </w:t>
      </w:r>
      <w:r w:rsidR="004B667D" w:rsidRPr="004B667D">
        <w:rPr>
          <w:b/>
          <w:sz w:val="28"/>
          <w:szCs w:val="28"/>
        </w:rPr>
        <w:t>DÜŞÜYOR</w:t>
      </w:r>
    </w:p>
    <w:p w:rsidR="00E5545E" w:rsidRDefault="00F62C6D" w:rsidP="004B4485">
      <w:pPr>
        <w:pBdr>
          <w:bottom w:val="single" w:sz="6" w:space="1" w:color="auto"/>
        </w:pBdr>
        <w:jc w:val="both"/>
        <w:rPr>
          <w:b/>
          <w:sz w:val="24"/>
          <w:szCs w:val="24"/>
          <w:u w:val="single"/>
        </w:rPr>
      </w:pPr>
      <w:r>
        <w:rPr>
          <w:sz w:val="24"/>
          <w:szCs w:val="24"/>
        </w:rPr>
        <w:t xml:space="preserve">Turizm sektörüne kullandırılan kredi miktarında yaşanan ciddi artışa karşın geri dönmeyen kredilerin tutarı çok daha düşük oranlarda artış gösterdi. 2013’ün ilk çeyreği itibariyle takibe giren turizm sektörü kredisi 489 milyon 177 bin TL düzeyinde iken bu yılın aynı döneminde bu rakam yüzde 14’lük artışla 559 milyon 16 bin TL’ye yükseldi. </w:t>
      </w:r>
      <w:r w:rsidR="00E5545E">
        <w:rPr>
          <w:sz w:val="24"/>
          <w:szCs w:val="24"/>
        </w:rPr>
        <w:t>Buna göre</w:t>
      </w:r>
      <w:r>
        <w:rPr>
          <w:sz w:val="24"/>
          <w:szCs w:val="24"/>
        </w:rPr>
        <w:t xml:space="preserve"> ilk çeyrek itibariyle </w:t>
      </w:r>
      <w:r w:rsidR="00E5545E">
        <w:rPr>
          <w:sz w:val="24"/>
          <w:szCs w:val="24"/>
        </w:rPr>
        <w:t>turizm sektörüne kullandırıla</w:t>
      </w:r>
      <w:r w:rsidR="001A27E7">
        <w:rPr>
          <w:sz w:val="24"/>
          <w:szCs w:val="24"/>
        </w:rPr>
        <w:t>n kred</w:t>
      </w:r>
      <w:r w:rsidR="00B368C6">
        <w:rPr>
          <w:sz w:val="24"/>
          <w:szCs w:val="24"/>
        </w:rPr>
        <w:t xml:space="preserve">ilerin geri dönüş oranı </w:t>
      </w:r>
      <w:r>
        <w:rPr>
          <w:sz w:val="24"/>
          <w:szCs w:val="24"/>
        </w:rPr>
        <w:t xml:space="preserve">% 97,45’ten </w:t>
      </w:r>
      <w:r w:rsidR="00B368C6" w:rsidRPr="00B368C6">
        <w:rPr>
          <w:b/>
          <w:sz w:val="24"/>
          <w:szCs w:val="24"/>
          <w:u w:val="single"/>
        </w:rPr>
        <w:t xml:space="preserve">% </w:t>
      </w:r>
      <w:r w:rsidR="001A27E7" w:rsidRPr="00B368C6">
        <w:rPr>
          <w:b/>
          <w:sz w:val="24"/>
          <w:szCs w:val="24"/>
          <w:u w:val="single"/>
        </w:rPr>
        <w:t>97,</w:t>
      </w:r>
      <w:r w:rsidR="004B4485">
        <w:rPr>
          <w:b/>
          <w:sz w:val="24"/>
          <w:szCs w:val="24"/>
          <w:u w:val="single"/>
        </w:rPr>
        <w:t>91’e çıkmış oldu.</w:t>
      </w:r>
    </w:p>
    <w:p w:rsidR="004B4485" w:rsidRDefault="004B667D" w:rsidP="004B4485">
      <w:pPr>
        <w:pBdr>
          <w:bottom w:val="single" w:sz="6" w:space="1" w:color="auto"/>
        </w:pBdr>
        <w:jc w:val="both"/>
        <w:rPr>
          <w:b/>
          <w:sz w:val="24"/>
          <w:szCs w:val="24"/>
          <w:u w:val="single"/>
        </w:rPr>
      </w:pPr>
      <w:r>
        <w:rPr>
          <w:b/>
          <w:noProof/>
          <w:sz w:val="24"/>
          <w:szCs w:val="24"/>
          <w:u w:val="single"/>
          <w:lang w:eastAsia="tr-TR"/>
        </w:rPr>
        <w:drawing>
          <wp:inline distT="0" distB="0" distL="0" distR="0">
            <wp:extent cx="1346200" cy="1352550"/>
            <wp:effectExtent l="0" t="0" r="25400" b="1905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b/>
          <w:noProof/>
          <w:sz w:val="24"/>
          <w:szCs w:val="24"/>
          <w:u w:val="single"/>
          <w:lang w:eastAsia="tr-TR"/>
        </w:rPr>
        <w:drawing>
          <wp:inline distT="0" distB="0" distL="0" distR="0">
            <wp:extent cx="1301750" cy="1352550"/>
            <wp:effectExtent l="0" t="0" r="12700" b="1905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51307">
        <w:rPr>
          <w:b/>
          <w:noProof/>
          <w:sz w:val="24"/>
          <w:szCs w:val="24"/>
          <w:u w:val="single"/>
          <w:lang w:eastAsia="tr-TR"/>
        </w:rPr>
        <w:drawing>
          <wp:inline distT="0" distB="0" distL="0" distR="0" wp14:anchorId="5C55AB0D" wp14:editId="5D90051C">
            <wp:extent cx="1301750" cy="1352550"/>
            <wp:effectExtent l="0" t="0" r="12700" b="1905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51307">
        <w:rPr>
          <w:b/>
          <w:noProof/>
          <w:sz w:val="24"/>
          <w:szCs w:val="24"/>
          <w:u w:val="single"/>
          <w:lang w:eastAsia="tr-TR"/>
        </w:rPr>
        <w:drawing>
          <wp:inline distT="0" distB="0" distL="0" distR="0" wp14:anchorId="5C55AB0D" wp14:editId="5D90051C">
            <wp:extent cx="1301750" cy="1352550"/>
            <wp:effectExtent l="0" t="0" r="12700" b="1905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51307">
        <w:rPr>
          <w:b/>
          <w:noProof/>
          <w:sz w:val="24"/>
          <w:szCs w:val="24"/>
          <w:u w:val="single"/>
          <w:lang w:eastAsia="tr-TR"/>
        </w:rPr>
        <w:drawing>
          <wp:inline distT="0" distB="0" distL="0" distR="0" wp14:anchorId="5C55AB0D" wp14:editId="5D90051C">
            <wp:extent cx="1301750" cy="1352550"/>
            <wp:effectExtent l="0" t="0" r="12700" b="1905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667D" w:rsidRDefault="004B667D" w:rsidP="004B4485">
      <w:pPr>
        <w:pBdr>
          <w:bottom w:val="single" w:sz="6" w:space="1" w:color="auto"/>
        </w:pBdr>
        <w:jc w:val="both"/>
        <w:rPr>
          <w:b/>
          <w:sz w:val="24"/>
          <w:szCs w:val="24"/>
          <w:u w:val="single"/>
        </w:rPr>
      </w:pPr>
    </w:p>
    <w:p w:rsidR="00F62C6D" w:rsidRDefault="00F62C6D" w:rsidP="004900BA">
      <w:pPr>
        <w:rPr>
          <w:sz w:val="24"/>
          <w:szCs w:val="24"/>
        </w:rPr>
      </w:pPr>
    </w:p>
    <w:p w:rsidR="00882606" w:rsidRDefault="0082779B" w:rsidP="00C95FAF">
      <w:pPr>
        <w:jc w:val="both"/>
        <w:rPr>
          <w:b/>
          <w:sz w:val="24"/>
          <w:szCs w:val="24"/>
        </w:rPr>
      </w:pPr>
      <w:r>
        <w:rPr>
          <w:b/>
          <w:sz w:val="24"/>
          <w:szCs w:val="24"/>
        </w:rPr>
        <w:t>TURİZM SEKTÖRÜ</w:t>
      </w:r>
      <w:r w:rsidR="00882606">
        <w:rPr>
          <w:b/>
          <w:sz w:val="24"/>
          <w:szCs w:val="24"/>
        </w:rPr>
        <w:t xml:space="preserve">NDE </w:t>
      </w:r>
      <w:r w:rsidR="00687531" w:rsidRPr="0082779B">
        <w:rPr>
          <w:b/>
          <w:sz w:val="24"/>
          <w:szCs w:val="24"/>
        </w:rPr>
        <w:t>KREDİ BORCU</w:t>
      </w:r>
      <w:r w:rsidR="00882606">
        <w:rPr>
          <w:b/>
          <w:sz w:val="24"/>
          <w:szCs w:val="24"/>
        </w:rPr>
        <w:t xml:space="preserve"> EN YÜKSEK KENT İSTANBUL </w:t>
      </w:r>
    </w:p>
    <w:p w:rsidR="00687531" w:rsidRDefault="00F60EE3" w:rsidP="00C95FAF">
      <w:pPr>
        <w:jc w:val="both"/>
      </w:pPr>
      <w:r w:rsidRPr="0082779B">
        <w:rPr>
          <w:sz w:val="24"/>
          <w:szCs w:val="24"/>
        </w:rPr>
        <w:t xml:space="preserve">Bankacılık Düzenleme ve Denetleme Kurumu (BDDK) verilerine göre </w:t>
      </w:r>
      <w:r w:rsidR="00882606">
        <w:rPr>
          <w:sz w:val="24"/>
          <w:szCs w:val="24"/>
        </w:rPr>
        <w:t xml:space="preserve">2014’ün ilk çeyreği itibariyle nakdi kredi </w:t>
      </w:r>
      <w:r w:rsidR="00687531" w:rsidRPr="0082779B">
        <w:rPr>
          <w:sz w:val="24"/>
          <w:szCs w:val="24"/>
        </w:rPr>
        <w:t xml:space="preserve">borcunda İstanbul ve Antalya başı çekerken bu iki ilimizi Ankara, Muğla ve İzmir takip etti. </w:t>
      </w:r>
    </w:p>
    <w:p w:rsidR="00F60EE3" w:rsidRDefault="00F60EE3" w:rsidP="004900BA">
      <w:r w:rsidRPr="00C20AF8">
        <w:rPr>
          <w:b/>
          <w:noProof/>
          <w:lang w:eastAsia="tr-TR"/>
        </w:rPr>
        <w:drawing>
          <wp:inline distT="0" distB="0" distL="0" distR="0" wp14:anchorId="75EADF6B" wp14:editId="4E8A094D">
            <wp:extent cx="5486400" cy="3200400"/>
            <wp:effectExtent l="38100" t="95250" r="95250" b="3810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0EE3" w:rsidRDefault="0082779B" w:rsidP="00C95FAF">
      <w:pPr>
        <w:jc w:val="both"/>
        <w:rPr>
          <w:sz w:val="24"/>
          <w:szCs w:val="24"/>
        </w:rPr>
      </w:pPr>
      <w:r>
        <w:rPr>
          <w:b/>
          <w:sz w:val="24"/>
          <w:szCs w:val="24"/>
        </w:rPr>
        <w:t xml:space="preserve">TURİZM SEKTÖRÜNDE </w:t>
      </w:r>
      <w:r w:rsidRPr="0082779B">
        <w:rPr>
          <w:b/>
          <w:sz w:val="24"/>
          <w:szCs w:val="24"/>
        </w:rPr>
        <w:t xml:space="preserve">TAKİBE GİREN </w:t>
      </w:r>
      <w:r>
        <w:rPr>
          <w:b/>
          <w:sz w:val="24"/>
          <w:szCs w:val="24"/>
        </w:rPr>
        <w:t>KREDİ BORCU</w:t>
      </w:r>
      <w:r w:rsidR="00882606">
        <w:rPr>
          <w:b/>
          <w:sz w:val="24"/>
          <w:szCs w:val="24"/>
        </w:rPr>
        <w:t>NDA BAŞI İSTANBUL VE ANTALYA ÇEKİYOR</w:t>
      </w:r>
    </w:p>
    <w:p w:rsidR="00213424" w:rsidRDefault="0082779B" w:rsidP="00C95FAF">
      <w:pPr>
        <w:jc w:val="both"/>
        <w:rPr>
          <w:sz w:val="24"/>
          <w:szCs w:val="24"/>
        </w:rPr>
      </w:pPr>
      <w:r w:rsidRPr="00C20AF8">
        <w:rPr>
          <w:sz w:val="24"/>
          <w:szCs w:val="24"/>
        </w:rPr>
        <w:t>Bankacılık Düzenleme ve Denetleme Kurumu (BDDK) verilerine göre 201</w:t>
      </w:r>
      <w:r w:rsidR="00882606">
        <w:rPr>
          <w:sz w:val="24"/>
          <w:szCs w:val="24"/>
        </w:rPr>
        <w:t>4</w:t>
      </w:r>
      <w:r w:rsidRPr="00C20AF8">
        <w:rPr>
          <w:sz w:val="24"/>
          <w:szCs w:val="24"/>
        </w:rPr>
        <w:t xml:space="preserve"> </w:t>
      </w:r>
      <w:r w:rsidR="00882606">
        <w:rPr>
          <w:sz w:val="24"/>
          <w:szCs w:val="24"/>
        </w:rPr>
        <w:t xml:space="preserve">ilk çeyreği </w:t>
      </w:r>
      <w:r w:rsidRPr="00C20AF8">
        <w:rPr>
          <w:sz w:val="24"/>
          <w:szCs w:val="24"/>
        </w:rPr>
        <w:t xml:space="preserve">itibariyle </w:t>
      </w:r>
      <w:r w:rsidR="00213424">
        <w:rPr>
          <w:sz w:val="24"/>
          <w:szCs w:val="24"/>
        </w:rPr>
        <w:t xml:space="preserve">turizm sektörünün takibe giren kredi miktarı </w:t>
      </w:r>
      <w:r w:rsidR="00882606">
        <w:rPr>
          <w:sz w:val="24"/>
          <w:szCs w:val="24"/>
        </w:rPr>
        <w:t>559</w:t>
      </w:r>
      <w:r w:rsidRPr="00C20AF8">
        <w:rPr>
          <w:sz w:val="24"/>
          <w:szCs w:val="24"/>
        </w:rPr>
        <w:t xml:space="preserve"> milyon </w:t>
      </w:r>
      <w:r w:rsidR="00882606">
        <w:rPr>
          <w:sz w:val="24"/>
          <w:szCs w:val="24"/>
        </w:rPr>
        <w:t>1</w:t>
      </w:r>
      <w:r w:rsidRPr="00C20AF8">
        <w:rPr>
          <w:sz w:val="24"/>
          <w:szCs w:val="24"/>
        </w:rPr>
        <w:t>6 bin TL düzeyinde bulun</w:t>
      </w:r>
      <w:r w:rsidR="00213424">
        <w:rPr>
          <w:sz w:val="24"/>
          <w:szCs w:val="24"/>
        </w:rPr>
        <w:t xml:space="preserve">uyor. Takibe giren kredi borcunda </w:t>
      </w:r>
      <w:r w:rsidR="00C95FAF">
        <w:rPr>
          <w:sz w:val="24"/>
          <w:szCs w:val="24"/>
        </w:rPr>
        <w:t>İstanbul ve Antalya ilk iki sırada yer alırken bu iki kenti Muğla, Ankara ve İzmir takip ediyor.</w:t>
      </w:r>
    </w:p>
    <w:p w:rsidR="00213424" w:rsidRDefault="00213424" w:rsidP="0082779B">
      <w:pPr>
        <w:rPr>
          <w:sz w:val="24"/>
          <w:szCs w:val="24"/>
        </w:rPr>
      </w:pPr>
    </w:p>
    <w:p w:rsidR="0082779B" w:rsidRDefault="00C20AF8" w:rsidP="0082779B">
      <w:r>
        <w:rPr>
          <w:noProof/>
          <w:lang w:eastAsia="tr-TR"/>
        </w:rPr>
        <w:drawing>
          <wp:inline distT="0" distB="0" distL="0" distR="0">
            <wp:extent cx="5486400" cy="3200400"/>
            <wp:effectExtent l="38100" t="95250" r="95250" b="381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82779B" w:rsidSect="00381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BA"/>
    <w:rsid w:val="0005285F"/>
    <w:rsid w:val="0012631B"/>
    <w:rsid w:val="001A27E7"/>
    <w:rsid w:val="001C4354"/>
    <w:rsid w:val="00213424"/>
    <w:rsid w:val="00273AAD"/>
    <w:rsid w:val="00351307"/>
    <w:rsid w:val="00381F91"/>
    <w:rsid w:val="003D3277"/>
    <w:rsid w:val="003E0F60"/>
    <w:rsid w:val="004900BA"/>
    <w:rsid w:val="004B4485"/>
    <w:rsid w:val="004B667D"/>
    <w:rsid w:val="004C5364"/>
    <w:rsid w:val="004D223C"/>
    <w:rsid w:val="0058345B"/>
    <w:rsid w:val="00585661"/>
    <w:rsid w:val="005E72BD"/>
    <w:rsid w:val="00687531"/>
    <w:rsid w:val="006E25AF"/>
    <w:rsid w:val="007367E5"/>
    <w:rsid w:val="0082779B"/>
    <w:rsid w:val="00882606"/>
    <w:rsid w:val="00915BC6"/>
    <w:rsid w:val="009D7F2A"/>
    <w:rsid w:val="00A675DE"/>
    <w:rsid w:val="00B368C6"/>
    <w:rsid w:val="00C20AF8"/>
    <w:rsid w:val="00C43237"/>
    <w:rsid w:val="00C80425"/>
    <w:rsid w:val="00C926D5"/>
    <w:rsid w:val="00C95FAF"/>
    <w:rsid w:val="00CB5239"/>
    <w:rsid w:val="00D94AB7"/>
    <w:rsid w:val="00DB545A"/>
    <w:rsid w:val="00DF0DBC"/>
    <w:rsid w:val="00E5545E"/>
    <w:rsid w:val="00E66FFD"/>
    <w:rsid w:val="00F60EE3"/>
    <w:rsid w:val="00F62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60E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60E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39195">
      <w:bodyDiv w:val="1"/>
      <w:marLeft w:val="0"/>
      <w:marRight w:val="0"/>
      <w:marTop w:val="0"/>
      <w:marBottom w:val="0"/>
      <w:divBdr>
        <w:top w:val="none" w:sz="0" w:space="0" w:color="auto"/>
        <w:left w:val="none" w:sz="0" w:space="0" w:color="auto"/>
        <w:bottom w:val="none" w:sz="0" w:space="0" w:color="auto"/>
        <w:right w:val="none" w:sz="0" w:space="0" w:color="auto"/>
      </w:divBdr>
      <w:divsChild>
        <w:div w:id="406733426">
          <w:marLeft w:val="0"/>
          <w:marRight w:val="0"/>
          <w:marTop w:val="0"/>
          <w:marBottom w:val="0"/>
          <w:divBdr>
            <w:top w:val="none" w:sz="0" w:space="0" w:color="auto"/>
            <w:left w:val="none" w:sz="0" w:space="0" w:color="auto"/>
            <w:bottom w:val="none" w:sz="0" w:space="0" w:color="auto"/>
            <w:right w:val="none" w:sz="0" w:space="0" w:color="auto"/>
          </w:divBdr>
          <w:divsChild>
            <w:div w:id="620041571">
              <w:marLeft w:val="0"/>
              <w:marRight w:val="0"/>
              <w:marTop w:val="0"/>
              <w:marBottom w:val="0"/>
              <w:divBdr>
                <w:top w:val="none" w:sz="0" w:space="0" w:color="auto"/>
                <w:left w:val="none" w:sz="0" w:space="0" w:color="auto"/>
                <w:bottom w:val="none" w:sz="0" w:space="0" w:color="auto"/>
                <w:right w:val="none" w:sz="0" w:space="0" w:color="auto"/>
              </w:divBdr>
              <w:divsChild>
                <w:div w:id="1733499392">
                  <w:marLeft w:val="0"/>
                  <w:marRight w:val="0"/>
                  <w:marTop w:val="0"/>
                  <w:marBottom w:val="0"/>
                  <w:divBdr>
                    <w:top w:val="none" w:sz="0" w:space="0" w:color="auto"/>
                    <w:left w:val="none" w:sz="0" w:space="0" w:color="auto"/>
                    <w:bottom w:val="none" w:sz="0" w:space="0" w:color="auto"/>
                    <w:right w:val="none" w:sz="0" w:space="0" w:color="auto"/>
                  </w:divBdr>
                  <w:divsChild>
                    <w:div w:id="77991966">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4216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767969">
      <w:bodyDiv w:val="1"/>
      <w:marLeft w:val="0"/>
      <w:marRight w:val="0"/>
      <w:marTop w:val="0"/>
      <w:marBottom w:val="0"/>
      <w:divBdr>
        <w:top w:val="none" w:sz="0" w:space="0" w:color="auto"/>
        <w:left w:val="none" w:sz="0" w:space="0" w:color="auto"/>
        <w:bottom w:val="none" w:sz="0" w:space="0" w:color="auto"/>
        <w:right w:val="none" w:sz="0" w:space="0" w:color="auto"/>
      </w:divBdr>
      <w:divsChild>
        <w:div w:id="1389189147">
          <w:marLeft w:val="0"/>
          <w:marRight w:val="0"/>
          <w:marTop w:val="0"/>
          <w:marBottom w:val="0"/>
          <w:divBdr>
            <w:top w:val="none" w:sz="0" w:space="0" w:color="auto"/>
            <w:left w:val="none" w:sz="0" w:space="0" w:color="auto"/>
            <w:bottom w:val="none" w:sz="0" w:space="0" w:color="auto"/>
            <w:right w:val="none" w:sz="0" w:space="0" w:color="auto"/>
          </w:divBdr>
          <w:divsChild>
            <w:div w:id="863636450">
              <w:marLeft w:val="0"/>
              <w:marRight w:val="0"/>
              <w:marTop w:val="0"/>
              <w:marBottom w:val="0"/>
              <w:divBdr>
                <w:top w:val="none" w:sz="0" w:space="0" w:color="auto"/>
                <w:left w:val="none" w:sz="0" w:space="0" w:color="auto"/>
                <w:bottom w:val="none" w:sz="0" w:space="0" w:color="auto"/>
                <w:right w:val="none" w:sz="0" w:space="0" w:color="auto"/>
              </w:divBdr>
              <w:divsChild>
                <w:div w:id="671951234">
                  <w:marLeft w:val="0"/>
                  <w:marRight w:val="0"/>
                  <w:marTop w:val="0"/>
                  <w:marBottom w:val="0"/>
                  <w:divBdr>
                    <w:top w:val="none" w:sz="0" w:space="0" w:color="auto"/>
                    <w:left w:val="none" w:sz="0" w:space="0" w:color="auto"/>
                    <w:bottom w:val="none" w:sz="0" w:space="0" w:color="auto"/>
                    <w:right w:val="none" w:sz="0" w:space="0" w:color="auto"/>
                  </w:divBdr>
                  <w:divsChild>
                    <w:div w:id="394742450">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17573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8849">
      <w:bodyDiv w:val="1"/>
      <w:marLeft w:val="0"/>
      <w:marRight w:val="0"/>
      <w:marTop w:val="0"/>
      <w:marBottom w:val="0"/>
      <w:divBdr>
        <w:top w:val="none" w:sz="0" w:space="0" w:color="auto"/>
        <w:left w:val="none" w:sz="0" w:space="0" w:color="auto"/>
        <w:bottom w:val="none" w:sz="0" w:space="0" w:color="auto"/>
        <w:right w:val="none" w:sz="0" w:space="0" w:color="auto"/>
      </w:divBdr>
      <w:divsChild>
        <w:div w:id="270742887">
          <w:marLeft w:val="0"/>
          <w:marRight w:val="0"/>
          <w:marTop w:val="0"/>
          <w:marBottom w:val="0"/>
          <w:divBdr>
            <w:top w:val="none" w:sz="0" w:space="0" w:color="auto"/>
            <w:left w:val="none" w:sz="0" w:space="0" w:color="auto"/>
            <w:bottom w:val="none" w:sz="0" w:space="0" w:color="auto"/>
            <w:right w:val="none" w:sz="0" w:space="0" w:color="auto"/>
          </w:divBdr>
          <w:divsChild>
            <w:div w:id="972440028">
              <w:marLeft w:val="0"/>
              <w:marRight w:val="0"/>
              <w:marTop w:val="0"/>
              <w:marBottom w:val="0"/>
              <w:divBdr>
                <w:top w:val="none" w:sz="0" w:space="0" w:color="auto"/>
                <w:left w:val="none" w:sz="0" w:space="0" w:color="auto"/>
                <w:bottom w:val="none" w:sz="0" w:space="0" w:color="auto"/>
                <w:right w:val="none" w:sz="0" w:space="0" w:color="auto"/>
              </w:divBdr>
              <w:divsChild>
                <w:div w:id="749621906">
                  <w:marLeft w:val="0"/>
                  <w:marRight w:val="0"/>
                  <w:marTop w:val="0"/>
                  <w:marBottom w:val="0"/>
                  <w:divBdr>
                    <w:top w:val="none" w:sz="0" w:space="0" w:color="auto"/>
                    <w:left w:val="none" w:sz="0" w:space="0" w:color="auto"/>
                    <w:bottom w:val="none" w:sz="0" w:space="0" w:color="auto"/>
                    <w:right w:val="none" w:sz="0" w:space="0" w:color="auto"/>
                  </w:divBdr>
                  <w:divsChild>
                    <w:div w:id="883253973">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17982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69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TURİZM SEKTÖRÜ</a:t>
            </a:r>
            <a:r>
              <a:rPr lang="tr-TR" baseline="0"/>
              <a:t> NAKDİ </a:t>
            </a:r>
            <a:r>
              <a:rPr lang="en-US"/>
              <a:t>KREDİ</a:t>
            </a:r>
            <a:r>
              <a:rPr lang="tr-TR"/>
              <a:t>LER </a:t>
            </a:r>
            <a:r>
              <a:rPr lang="en-US"/>
              <a:t> 2010-2014</a:t>
            </a:r>
            <a:endParaRPr lang="tr-TR"/>
          </a:p>
          <a:p>
            <a:pPr>
              <a:defRPr/>
            </a:pPr>
            <a:r>
              <a:rPr lang="tr-TR"/>
              <a:t>(</a:t>
            </a:r>
            <a:r>
              <a:rPr lang="en-US"/>
              <a:t>I. ÇEYREK</a:t>
            </a:r>
            <a:r>
              <a:rPr lang="tr-TR"/>
              <a:t>)</a:t>
            </a:r>
            <a:endParaRPr lang="en-US"/>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Sayfa1!$B$1</c:f>
              <c:strCache>
                <c:ptCount val="1"/>
                <c:pt idx="0">
                  <c:v>TURİZM SEKTÖRÜNE AÇILAN KREDİ (2010-2014 I. ÇEYREK</c:v>
                </c:pt>
              </c:strCache>
            </c:strRef>
          </c:tx>
          <c:spPr>
            <a:solidFill>
              <a:srgbClr val="FF0000"/>
            </a:solidFill>
          </c:spPr>
          <c:dLbls>
            <c:dLbl>
              <c:idx val="0"/>
              <c:layout>
                <c:manualLayout>
                  <c:x val="-6.9444444444444448E-2"/>
                  <c:y val="-4.7619360079990077E-2"/>
                </c:manualLayout>
              </c:layout>
              <c:tx>
                <c:rich>
                  <a:bodyPr/>
                  <a:lstStyle/>
                  <a:p>
                    <a:r>
                      <a:rPr lang="en-US" sz="1200"/>
                      <a:t>5</a:t>
                    </a:r>
                    <a:r>
                      <a:rPr lang="tr-TR" sz="1200"/>
                      <a:t> </a:t>
                    </a:r>
                    <a:r>
                      <a:rPr lang="en-US" sz="1200"/>
                      <a:t>867</a:t>
                    </a:r>
                    <a:r>
                      <a:rPr lang="tr-TR" sz="1200"/>
                      <a:t> </a:t>
                    </a:r>
                    <a:r>
                      <a:rPr lang="en-US" sz="1200"/>
                      <a:t>096</a:t>
                    </a:r>
                    <a:endParaRPr lang="en-US"/>
                  </a:p>
                </c:rich>
              </c:tx>
              <c:showLegendKey val="0"/>
              <c:showVal val="1"/>
              <c:showCatName val="0"/>
              <c:showSerName val="0"/>
              <c:showPercent val="0"/>
              <c:showBubbleSize val="0"/>
            </c:dLbl>
            <c:dLbl>
              <c:idx val="1"/>
              <c:layout>
                <c:manualLayout>
                  <c:x val="-6.2500000000000042E-2"/>
                  <c:y val="-4.7619047619047693E-2"/>
                </c:manualLayout>
              </c:layout>
              <c:tx>
                <c:rich>
                  <a:bodyPr/>
                  <a:lstStyle/>
                  <a:p>
                    <a:r>
                      <a:rPr lang="en-US" sz="1200"/>
                      <a:t>12</a:t>
                    </a:r>
                    <a:r>
                      <a:rPr lang="tr-TR" sz="1200"/>
                      <a:t> </a:t>
                    </a:r>
                    <a:r>
                      <a:rPr lang="en-US" sz="1200"/>
                      <a:t>323</a:t>
                    </a:r>
                    <a:r>
                      <a:rPr lang="tr-TR" sz="1200"/>
                      <a:t> </a:t>
                    </a:r>
                    <a:r>
                      <a:rPr lang="en-US" sz="1200"/>
                      <a:t>553</a:t>
                    </a:r>
                    <a:endParaRPr lang="en-US"/>
                  </a:p>
                </c:rich>
              </c:tx>
              <c:showLegendKey val="0"/>
              <c:showVal val="1"/>
              <c:showCatName val="0"/>
              <c:showSerName val="0"/>
              <c:showPercent val="0"/>
              <c:showBubbleSize val="0"/>
            </c:dLbl>
            <c:dLbl>
              <c:idx val="2"/>
              <c:layout>
                <c:manualLayout>
                  <c:x val="-6.9444444444444441E-3"/>
                  <c:y val="-7.1428571428571508E-2"/>
                </c:manualLayout>
              </c:layout>
              <c:tx>
                <c:rich>
                  <a:bodyPr/>
                  <a:lstStyle/>
                  <a:p>
                    <a:r>
                      <a:rPr lang="en-US" sz="1200"/>
                      <a:t>15</a:t>
                    </a:r>
                    <a:r>
                      <a:rPr lang="tr-TR" sz="1200"/>
                      <a:t> </a:t>
                    </a:r>
                    <a:r>
                      <a:rPr lang="en-US" sz="1200"/>
                      <a:t>661</a:t>
                    </a:r>
                    <a:r>
                      <a:rPr lang="tr-TR" sz="1200"/>
                      <a:t> </a:t>
                    </a:r>
                    <a:r>
                      <a:rPr lang="en-US" sz="1200"/>
                      <a:t>077</a:t>
                    </a:r>
                    <a:endParaRPr lang="en-US"/>
                  </a:p>
                </c:rich>
              </c:tx>
              <c:showLegendKey val="0"/>
              <c:showVal val="1"/>
              <c:showCatName val="0"/>
              <c:showSerName val="0"/>
              <c:showPercent val="0"/>
              <c:showBubbleSize val="0"/>
            </c:dLbl>
            <c:dLbl>
              <c:idx val="3"/>
              <c:layout>
                <c:manualLayout>
                  <c:x val="2.3148148148148147E-3"/>
                  <c:y val="-7.1428571428571425E-2"/>
                </c:manualLayout>
              </c:layout>
              <c:tx>
                <c:rich>
                  <a:bodyPr/>
                  <a:lstStyle/>
                  <a:p>
                    <a:r>
                      <a:rPr lang="en-US" sz="1200"/>
                      <a:t>19</a:t>
                    </a:r>
                    <a:r>
                      <a:rPr lang="tr-TR" sz="1200"/>
                      <a:t> </a:t>
                    </a:r>
                    <a:r>
                      <a:rPr lang="en-US" sz="1200"/>
                      <a:t>217</a:t>
                    </a:r>
                    <a:r>
                      <a:rPr lang="tr-TR" sz="1200"/>
                      <a:t> </a:t>
                    </a:r>
                    <a:r>
                      <a:rPr lang="en-US" sz="1200"/>
                      <a:t>528</a:t>
                    </a:r>
                    <a:endParaRPr lang="en-US"/>
                  </a:p>
                </c:rich>
              </c:tx>
              <c:showLegendKey val="0"/>
              <c:showVal val="1"/>
              <c:showCatName val="0"/>
              <c:showSerName val="0"/>
              <c:showPercent val="0"/>
              <c:showBubbleSize val="0"/>
            </c:dLbl>
            <c:dLbl>
              <c:idx val="4"/>
              <c:layout>
                <c:manualLayout>
                  <c:x val="-2.7777777777777776E-2"/>
                  <c:y val="-7.1428571428571425E-2"/>
                </c:manualLayout>
              </c:layout>
              <c:tx>
                <c:rich>
                  <a:bodyPr/>
                  <a:lstStyle/>
                  <a:p>
                    <a:r>
                      <a:rPr lang="en-US" sz="1200"/>
                      <a:t>26</a:t>
                    </a:r>
                    <a:r>
                      <a:rPr lang="tr-TR" sz="1200"/>
                      <a:t> </a:t>
                    </a:r>
                    <a:r>
                      <a:rPr lang="en-US" sz="1200"/>
                      <a:t>781</a:t>
                    </a:r>
                    <a:r>
                      <a:rPr lang="tr-TR" sz="1200"/>
                      <a:t> </a:t>
                    </a:r>
                    <a:r>
                      <a:rPr lang="en-US" sz="1200"/>
                      <a:t>417</a:t>
                    </a:r>
                    <a:endParaRPr lang="en-US"/>
                  </a:p>
                </c:rich>
              </c:tx>
              <c:showLegendKey val="0"/>
              <c:showVal val="1"/>
              <c:showCatName val="0"/>
              <c:showSerName val="0"/>
              <c:showPercent val="0"/>
              <c:showBubbleSize val="0"/>
            </c:dLbl>
            <c:txPr>
              <a:bodyPr/>
              <a:lstStyle/>
              <a:p>
                <a:pPr>
                  <a:defRPr sz="1200" b="1"/>
                </a:pPr>
                <a:endParaRPr lang="tr-TR"/>
              </a:p>
            </c:txPr>
            <c:showLegendKey val="0"/>
            <c:showVal val="1"/>
            <c:showCatName val="0"/>
            <c:showSerName val="0"/>
            <c:showPercent val="0"/>
            <c:showBubbleSize val="0"/>
            <c:showLeaderLines val="0"/>
          </c:dLbls>
          <c:cat>
            <c:numRef>
              <c:f>Sayfa1!$A$2:$A$6</c:f>
              <c:numCache>
                <c:formatCode>General</c:formatCode>
                <c:ptCount val="5"/>
                <c:pt idx="0">
                  <c:v>2010</c:v>
                </c:pt>
                <c:pt idx="1">
                  <c:v>2011</c:v>
                </c:pt>
                <c:pt idx="2">
                  <c:v>2012</c:v>
                </c:pt>
                <c:pt idx="3">
                  <c:v>2013</c:v>
                </c:pt>
                <c:pt idx="4">
                  <c:v>2014</c:v>
                </c:pt>
              </c:numCache>
            </c:numRef>
          </c:cat>
          <c:val>
            <c:numRef>
              <c:f>Sayfa1!$B$2:$B$6</c:f>
              <c:numCache>
                <c:formatCode>General</c:formatCode>
                <c:ptCount val="5"/>
                <c:pt idx="0">
                  <c:v>5867096</c:v>
                </c:pt>
                <c:pt idx="1">
                  <c:v>12323553</c:v>
                </c:pt>
                <c:pt idx="2">
                  <c:v>15661077</c:v>
                </c:pt>
                <c:pt idx="3">
                  <c:v>19217528</c:v>
                </c:pt>
                <c:pt idx="4">
                  <c:v>26781417</c:v>
                </c:pt>
              </c:numCache>
            </c:numRef>
          </c:val>
          <c:smooth val="0"/>
        </c:ser>
        <c:dLbls>
          <c:showLegendKey val="0"/>
          <c:showVal val="0"/>
          <c:showCatName val="0"/>
          <c:showSerName val="0"/>
          <c:showPercent val="0"/>
          <c:showBubbleSize val="0"/>
        </c:dLbls>
        <c:axId val="118435840"/>
        <c:axId val="122430592"/>
        <c:axId val="137251968"/>
      </c:line3DChart>
      <c:catAx>
        <c:axId val="118435840"/>
        <c:scaling>
          <c:orientation val="minMax"/>
        </c:scaling>
        <c:delete val="0"/>
        <c:axPos val="b"/>
        <c:numFmt formatCode="General" sourceLinked="1"/>
        <c:majorTickMark val="out"/>
        <c:minorTickMark val="none"/>
        <c:tickLblPos val="nextTo"/>
        <c:txPr>
          <a:bodyPr/>
          <a:lstStyle/>
          <a:p>
            <a:pPr>
              <a:defRPr b="1"/>
            </a:pPr>
            <a:endParaRPr lang="tr-TR"/>
          </a:p>
        </c:txPr>
        <c:crossAx val="122430592"/>
        <c:crosses val="autoZero"/>
        <c:auto val="1"/>
        <c:lblAlgn val="ctr"/>
        <c:lblOffset val="100"/>
        <c:noMultiLvlLbl val="0"/>
      </c:catAx>
      <c:valAx>
        <c:axId val="122430592"/>
        <c:scaling>
          <c:orientation val="minMax"/>
        </c:scaling>
        <c:delete val="0"/>
        <c:axPos val="l"/>
        <c:majorGridlines/>
        <c:numFmt formatCode="General" sourceLinked="1"/>
        <c:majorTickMark val="out"/>
        <c:minorTickMark val="none"/>
        <c:tickLblPos val="nextTo"/>
        <c:crossAx val="118435840"/>
        <c:crosses val="autoZero"/>
        <c:crossBetween val="between"/>
      </c:valAx>
      <c:serAx>
        <c:axId val="137251968"/>
        <c:scaling>
          <c:orientation val="minMax"/>
        </c:scaling>
        <c:delete val="1"/>
        <c:axPos val="b"/>
        <c:majorTickMark val="out"/>
        <c:minorTickMark val="none"/>
        <c:tickLblPos val="nextTo"/>
        <c:crossAx val="122430592"/>
        <c:crosses val="autoZero"/>
      </c:serAx>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a:outerShdw blurRad="50800" dist="38100" dir="18900000" algn="bl"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KREDİ DÖNÜŞ ORANI 2010</a:t>
            </a:r>
          </a:p>
        </c:rich>
      </c:tx>
      <c:overlay val="0"/>
    </c:title>
    <c:autoTitleDeleted val="0"/>
    <c:view3D>
      <c:rotX val="30"/>
      <c:rotY val="150"/>
      <c:rAngAx val="0"/>
      <c:perspective val="30"/>
    </c:view3D>
    <c:floor>
      <c:thickness val="0"/>
    </c:floor>
    <c:sideWall>
      <c:thickness val="0"/>
    </c:sideWall>
    <c:backWall>
      <c:thickness val="0"/>
    </c:backWall>
    <c:plotArea>
      <c:layout/>
      <c:pie3DChart>
        <c:varyColors val="1"/>
        <c:ser>
          <c:idx val="0"/>
          <c:order val="0"/>
          <c:tx>
            <c:strRef>
              <c:f>Sayfa1!$B$1</c:f>
              <c:strCache>
                <c:ptCount val="1"/>
                <c:pt idx="0">
                  <c:v>KREDİ DÖNÜŞ ORANI 2010</c:v>
                </c:pt>
              </c:strCache>
            </c:strRef>
          </c:tx>
          <c:explosion val="25"/>
          <c:dLbls>
            <c:dLbl>
              <c:idx val="0"/>
              <c:tx>
                <c:rich>
                  <a:bodyPr/>
                  <a:lstStyle/>
                  <a:p>
                    <a:r>
                      <a:rPr lang="tr-TR" sz="500"/>
                      <a:t>% </a:t>
                    </a:r>
                    <a:r>
                      <a:rPr lang="en-US" sz="500"/>
                      <a:t>95,39</a:t>
                    </a:r>
                    <a:endParaRPr lang="en-US"/>
                  </a:p>
                </c:rich>
              </c:tx>
              <c:showLegendKey val="0"/>
              <c:showVal val="1"/>
              <c:showCatName val="0"/>
              <c:showSerName val="0"/>
              <c:showPercent val="0"/>
              <c:showBubbleSize val="0"/>
            </c:dLbl>
            <c:dLbl>
              <c:idx val="1"/>
              <c:tx>
                <c:rich>
                  <a:bodyPr/>
                  <a:lstStyle/>
                  <a:p>
                    <a:r>
                      <a:rPr lang="tr-TR" sz="500"/>
                      <a:t> </a:t>
                    </a:r>
                    <a:r>
                      <a:rPr lang="en-US" sz="500"/>
                      <a:t>4,61</a:t>
                    </a:r>
                    <a:endParaRPr lang="en-US"/>
                  </a:p>
                </c:rich>
              </c:tx>
              <c:showLegendKey val="0"/>
              <c:showVal val="1"/>
              <c:showCatName val="0"/>
              <c:showSerName val="0"/>
              <c:showPercent val="0"/>
              <c:showBubbleSize val="0"/>
            </c:dLbl>
            <c:txPr>
              <a:bodyPr/>
              <a:lstStyle/>
              <a:p>
                <a:pPr>
                  <a:defRPr sz="500" b="1"/>
                </a:pPr>
                <a:endParaRPr lang="tr-TR"/>
              </a:p>
            </c:txPr>
            <c:showLegendKey val="0"/>
            <c:showVal val="1"/>
            <c:showCatName val="0"/>
            <c:showSerName val="0"/>
            <c:showPercent val="0"/>
            <c:showBubbleSize val="0"/>
            <c:showLeaderLines val="1"/>
          </c:dLbls>
          <c:cat>
            <c:strRef>
              <c:f>Sayfa1!$A$2:$A$3</c:f>
              <c:strCache>
                <c:ptCount val="2"/>
                <c:pt idx="0">
                  <c:v>GERİ DÖNEN KREDİ</c:v>
                </c:pt>
                <c:pt idx="1">
                  <c:v>TAKİBE GİREN KREDİ</c:v>
                </c:pt>
              </c:strCache>
            </c:strRef>
          </c:cat>
          <c:val>
            <c:numRef>
              <c:f>Sayfa1!$B$2:$B$3</c:f>
              <c:numCache>
                <c:formatCode>0.00%</c:formatCode>
                <c:ptCount val="2"/>
                <c:pt idx="0">
                  <c:v>0.95389999999999997</c:v>
                </c:pt>
                <c:pt idx="1">
                  <c:v>4.6100000000000002E-2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tr-TR"/>
        </a:p>
      </c:txPr>
    </c:title>
    <c:autoTitleDeleted val="0"/>
    <c:view3D>
      <c:rotX val="30"/>
      <c:rotY val="150"/>
      <c:rAngAx val="0"/>
      <c:perspective val="30"/>
    </c:view3D>
    <c:floor>
      <c:thickness val="0"/>
    </c:floor>
    <c:sideWall>
      <c:thickness val="0"/>
    </c:sideWall>
    <c:backWall>
      <c:thickness val="0"/>
    </c:backWall>
    <c:plotArea>
      <c:layout/>
      <c:pie3DChart>
        <c:varyColors val="1"/>
        <c:ser>
          <c:idx val="0"/>
          <c:order val="0"/>
          <c:tx>
            <c:strRef>
              <c:f>Sayfa1!$B$1</c:f>
              <c:strCache>
                <c:ptCount val="1"/>
                <c:pt idx="0">
                  <c:v>KREDİ DÖNÜŞ ORANI 2011</c:v>
                </c:pt>
              </c:strCache>
            </c:strRef>
          </c:tx>
          <c:explosion val="54"/>
          <c:dLbls>
            <c:dLbl>
              <c:idx val="0"/>
              <c:layout>
                <c:manualLayout>
                  <c:x val="-9.6686078523696827E-3"/>
                  <c:y val="2.2733381339841603E-2"/>
                </c:manualLayout>
              </c:layout>
              <c:spPr/>
              <c:txPr>
                <a:bodyPr/>
                <a:lstStyle/>
                <a:p>
                  <a:pPr>
                    <a:defRPr sz="500" b="1"/>
                  </a:pPr>
                  <a:endParaRPr lang="tr-TR"/>
                </a:p>
              </c:txPr>
              <c:showLegendKey val="0"/>
              <c:showVal val="1"/>
              <c:showCatName val="0"/>
              <c:showSerName val="0"/>
              <c:showPercent val="0"/>
              <c:showBubbleSize val="0"/>
            </c:dLbl>
            <c:dLbl>
              <c:idx val="1"/>
              <c:spPr/>
              <c:txPr>
                <a:bodyPr/>
                <a:lstStyle/>
                <a:p>
                  <a:pPr>
                    <a:defRPr sz="500" b="1"/>
                  </a:pPr>
                  <a:endParaRPr lang="tr-TR"/>
                </a:p>
              </c:txPr>
              <c:showLegendKey val="0"/>
              <c:showVal val="1"/>
              <c:showCatName val="0"/>
              <c:showSerName val="0"/>
              <c:showPercent val="0"/>
              <c:showBubbleSize val="0"/>
            </c:dLbl>
            <c:showLegendKey val="0"/>
            <c:showVal val="1"/>
            <c:showCatName val="0"/>
            <c:showSerName val="0"/>
            <c:showPercent val="0"/>
            <c:showBubbleSize val="0"/>
            <c:showLeaderLines val="1"/>
          </c:dLbls>
          <c:cat>
            <c:strRef>
              <c:f>Sayfa1!$A$2:$A$3</c:f>
              <c:strCache>
                <c:ptCount val="2"/>
                <c:pt idx="0">
                  <c:v>GERİ DÖNEN KREDİ</c:v>
                </c:pt>
                <c:pt idx="1">
                  <c:v>TAKİBE GİREN KREDİ</c:v>
                </c:pt>
              </c:strCache>
            </c:strRef>
          </c:cat>
          <c:val>
            <c:numRef>
              <c:f>Sayfa1!$B$2:$B$3</c:f>
              <c:numCache>
                <c:formatCode>0.00%</c:formatCode>
                <c:ptCount val="2"/>
                <c:pt idx="0">
                  <c:v>0.97430000000000005</c:v>
                </c:pt>
                <c:pt idx="1">
                  <c:v>2.5700000000000001E-2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tr-TR"/>
              <a:t>KREDİ DÖNÜŞ ORANI 2012</a:t>
            </a:r>
          </a:p>
        </c:rich>
      </c:tx>
      <c:overlay val="0"/>
    </c:title>
    <c:autoTitleDeleted val="0"/>
    <c:view3D>
      <c:rotX val="30"/>
      <c:rotY val="150"/>
      <c:rAngAx val="0"/>
      <c:perspective val="30"/>
    </c:view3D>
    <c:floor>
      <c:thickness val="0"/>
    </c:floor>
    <c:sideWall>
      <c:thickness val="0"/>
    </c:sideWall>
    <c:backWall>
      <c:thickness val="0"/>
    </c:backWall>
    <c:plotArea>
      <c:layout/>
      <c:pie3DChart>
        <c:varyColors val="1"/>
        <c:ser>
          <c:idx val="0"/>
          <c:order val="0"/>
          <c:tx>
            <c:strRef>
              <c:f>Sayfa1!$B$1</c:f>
              <c:strCache>
                <c:ptCount val="1"/>
                <c:pt idx="0">
                  <c:v>KREDİ DÖNÜŞ ORANI 2011</c:v>
                </c:pt>
              </c:strCache>
            </c:strRef>
          </c:tx>
          <c:explosion val="54"/>
          <c:dLbls>
            <c:dLbl>
              <c:idx val="0"/>
              <c:layout>
                <c:manualLayout>
                  <c:x val="-9.6686078523696827E-3"/>
                  <c:y val="2.2733381339841603E-2"/>
                </c:manualLayout>
              </c:layout>
              <c:tx>
                <c:rich>
                  <a:bodyPr/>
                  <a:lstStyle/>
                  <a:p>
                    <a:pPr>
                      <a:defRPr sz="500" b="1"/>
                    </a:pPr>
                    <a:r>
                      <a:rPr lang="en-US"/>
                      <a:t>97,</a:t>
                    </a:r>
                    <a:r>
                      <a:rPr lang="tr-TR"/>
                      <a:t>32</a:t>
                    </a:r>
                    <a:r>
                      <a:rPr lang="en-US"/>
                      <a:t>%</a:t>
                    </a:r>
                  </a:p>
                </c:rich>
              </c:tx>
              <c:spPr/>
              <c:showLegendKey val="0"/>
              <c:showVal val="1"/>
              <c:showCatName val="0"/>
              <c:showSerName val="0"/>
              <c:showPercent val="0"/>
              <c:showBubbleSize val="0"/>
            </c:dLbl>
            <c:dLbl>
              <c:idx val="1"/>
              <c:tx>
                <c:rich>
                  <a:bodyPr/>
                  <a:lstStyle/>
                  <a:p>
                    <a:pPr>
                      <a:defRPr sz="500" b="1"/>
                    </a:pPr>
                    <a:r>
                      <a:rPr lang="en-US"/>
                      <a:t>2,</a:t>
                    </a:r>
                    <a:r>
                      <a:rPr lang="tr-TR"/>
                      <a:t>68</a:t>
                    </a:r>
                    <a:r>
                      <a:rPr lang="en-US"/>
                      <a:t>%</a:t>
                    </a:r>
                  </a:p>
                </c:rich>
              </c:tx>
              <c:spPr/>
              <c:showLegendKey val="0"/>
              <c:showVal val="1"/>
              <c:showCatName val="0"/>
              <c:showSerName val="0"/>
              <c:showPercent val="0"/>
              <c:showBubbleSize val="0"/>
            </c:dLbl>
            <c:showLegendKey val="0"/>
            <c:showVal val="1"/>
            <c:showCatName val="0"/>
            <c:showSerName val="0"/>
            <c:showPercent val="0"/>
            <c:showBubbleSize val="0"/>
            <c:showLeaderLines val="1"/>
          </c:dLbls>
          <c:cat>
            <c:strRef>
              <c:f>Sayfa1!$A$2:$A$3</c:f>
              <c:strCache>
                <c:ptCount val="2"/>
                <c:pt idx="0">
                  <c:v>GERİ DÖNEN KREDİ</c:v>
                </c:pt>
                <c:pt idx="1">
                  <c:v>TAKİBE GİREN KREDİ</c:v>
                </c:pt>
              </c:strCache>
            </c:strRef>
          </c:cat>
          <c:val>
            <c:numRef>
              <c:f>Sayfa1!$B$2:$B$3</c:f>
              <c:numCache>
                <c:formatCode>0.00%</c:formatCode>
                <c:ptCount val="2"/>
                <c:pt idx="0">
                  <c:v>0.97430000000000005</c:v>
                </c:pt>
                <c:pt idx="1">
                  <c:v>2.5700000000000001E-2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tr-TR"/>
              <a:t>KREDİ DÖNÜŞ ORANI 2013</a:t>
            </a:r>
          </a:p>
        </c:rich>
      </c:tx>
      <c:overlay val="0"/>
    </c:title>
    <c:autoTitleDeleted val="0"/>
    <c:view3D>
      <c:rotX val="30"/>
      <c:rotY val="150"/>
      <c:rAngAx val="0"/>
      <c:perspective val="30"/>
    </c:view3D>
    <c:floor>
      <c:thickness val="0"/>
    </c:floor>
    <c:sideWall>
      <c:thickness val="0"/>
    </c:sideWall>
    <c:backWall>
      <c:thickness val="0"/>
    </c:backWall>
    <c:plotArea>
      <c:layout/>
      <c:pie3DChart>
        <c:varyColors val="1"/>
        <c:ser>
          <c:idx val="0"/>
          <c:order val="0"/>
          <c:tx>
            <c:strRef>
              <c:f>Sayfa1!$B$1</c:f>
              <c:strCache>
                <c:ptCount val="1"/>
                <c:pt idx="0">
                  <c:v>KREDİ DÖNÜŞ ORANI 2011</c:v>
                </c:pt>
              </c:strCache>
            </c:strRef>
          </c:tx>
          <c:explosion val="54"/>
          <c:dLbls>
            <c:dLbl>
              <c:idx val="0"/>
              <c:layout>
                <c:manualLayout>
                  <c:x val="-9.6686078523696827E-3"/>
                  <c:y val="2.2733381339841603E-2"/>
                </c:manualLayout>
              </c:layout>
              <c:tx>
                <c:rich>
                  <a:bodyPr/>
                  <a:lstStyle/>
                  <a:p>
                    <a:pPr>
                      <a:defRPr sz="500" b="1"/>
                    </a:pPr>
                    <a:r>
                      <a:rPr lang="en-US"/>
                      <a:t>97,4</a:t>
                    </a:r>
                    <a:r>
                      <a:rPr lang="tr-TR"/>
                      <a:t>5</a:t>
                    </a:r>
                    <a:r>
                      <a:rPr lang="en-US"/>
                      <a:t>%</a:t>
                    </a:r>
                  </a:p>
                </c:rich>
              </c:tx>
              <c:spPr/>
              <c:showLegendKey val="0"/>
              <c:showVal val="1"/>
              <c:showCatName val="0"/>
              <c:showSerName val="0"/>
              <c:showPercent val="0"/>
              <c:showBubbleSize val="0"/>
            </c:dLbl>
            <c:dLbl>
              <c:idx val="1"/>
              <c:tx>
                <c:rich>
                  <a:bodyPr/>
                  <a:lstStyle/>
                  <a:p>
                    <a:pPr>
                      <a:defRPr sz="500" b="1"/>
                    </a:pPr>
                    <a:r>
                      <a:rPr lang="en-US"/>
                      <a:t>2,5</a:t>
                    </a:r>
                    <a:r>
                      <a:rPr lang="tr-TR"/>
                      <a:t>5</a:t>
                    </a:r>
                    <a:r>
                      <a:rPr lang="en-US"/>
                      <a:t>%</a:t>
                    </a:r>
                  </a:p>
                </c:rich>
              </c:tx>
              <c:spPr/>
              <c:showLegendKey val="0"/>
              <c:showVal val="1"/>
              <c:showCatName val="0"/>
              <c:showSerName val="0"/>
              <c:showPercent val="0"/>
              <c:showBubbleSize val="0"/>
            </c:dLbl>
            <c:showLegendKey val="0"/>
            <c:showVal val="1"/>
            <c:showCatName val="0"/>
            <c:showSerName val="0"/>
            <c:showPercent val="0"/>
            <c:showBubbleSize val="0"/>
            <c:showLeaderLines val="1"/>
          </c:dLbls>
          <c:cat>
            <c:strRef>
              <c:f>Sayfa1!$A$2:$A$3</c:f>
              <c:strCache>
                <c:ptCount val="2"/>
                <c:pt idx="0">
                  <c:v>GERİ DÖNEN KREDİ</c:v>
                </c:pt>
                <c:pt idx="1">
                  <c:v>TAKİBE GİREN KREDİ</c:v>
                </c:pt>
              </c:strCache>
            </c:strRef>
          </c:cat>
          <c:val>
            <c:numRef>
              <c:f>Sayfa1!$B$2:$B$3</c:f>
              <c:numCache>
                <c:formatCode>0.00%</c:formatCode>
                <c:ptCount val="2"/>
                <c:pt idx="0">
                  <c:v>0.97430000000000005</c:v>
                </c:pt>
                <c:pt idx="1">
                  <c:v>2.5700000000000001E-2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tr-TR"/>
              <a:t>KREDİ DÖNÜŞ ORANI 2014</a:t>
            </a:r>
          </a:p>
        </c:rich>
      </c:tx>
      <c:overlay val="0"/>
    </c:title>
    <c:autoTitleDeleted val="0"/>
    <c:view3D>
      <c:rotX val="30"/>
      <c:rotY val="150"/>
      <c:rAngAx val="0"/>
      <c:perspective val="30"/>
    </c:view3D>
    <c:floor>
      <c:thickness val="0"/>
    </c:floor>
    <c:sideWall>
      <c:thickness val="0"/>
    </c:sideWall>
    <c:backWall>
      <c:thickness val="0"/>
    </c:backWall>
    <c:plotArea>
      <c:layout/>
      <c:pie3DChart>
        <c:varyColors val="1"/>
        <c:ser>
          <c:idx val="0"/>
          <c:order val="0"/>
          <c:tx>
            <c:strRef>
              <c:f>Sayfa1!$B$1</c:f>
              <c:strCache>
                <c:ptCount val="1"/>
                <c:pt idx="0">
                  <c:v>KREDİ DÖNÜŞ ORANI 2011</c:v>
                </c:pt>
              </c:strCache>
            </c:strRef>
          </c:tx>
          <c:explosion val="54"/>
          <c:dLbls>
            <c:dLbl>
              <c:idx val="0"/>
              <c:layout>
                <c:manualLayout>
                  <c:x val="-9.6686078523696827E-3"/>
                  <c:y val="2.2733381339841603E-2"/>
                </c:manualLayout>
              </c:layout>
              <c:tx>
                <c:rich>
                  <a:bodyPr/>
                  <a:lstStyle/>
                  <a:p>
                    <a:pPr>
                      <a:defRPr sz="500" b="1"/>
                    </a:pPr>
                    <a:r>
                      <a:rPr lang="en-US"/>
                      <a:t>97,</a:t>
                    </a:r>
                    <a:r>
                      <a:rPr lang="tr-TR"/>
                      <a:t>91</a:t>
                    </a:r>
                    <a:r>
                      <a:rPr lang="en-US"/>
                      <a:t>%</a:t>
                    </a:r>
                  </a:p>
                </c:rich>
              </c:tx>
              <c:spPr/>
              <c:showLegendKey val="0"/>
              <c:showVal val="1"/>
              <c:showCatName val="0"/>
              <c:showSerName val="0"/>
              <c:showPercent val="0"/>
              <c:showBubbleSize val="0"/>
            </c:dLbl>
            <c:dLbl>
              <c:idx val="1"/>
              <c:tx>
                <c:rich>
                  <a:bodyPr/>
                  <a:lstStyle/>
                  <a:p>
                    <a:pPr>
                      <a:defRPr sz="500" b="1"/>
                    </a:pPr>
                    <a:r>
                      <a:rPr lang="en-US"/>
                      <a:t>2,</a:t>
                    </a:r>
                    <a:r>
                      <a:rPr lang="tr-TR"/>
                      <a:t>09</a:t>
                    </a:r>
                    <a:r>
                      <a:rPr lang="en-US"/>
                      <a:t>%</a:t>
                    </a:r>
                  </a:p>
                </c:rich>
              </c:tx>
              <c:spPr/>
              <c:showLegendKey val="0"/>
              <c:showVal val="1"/>
              <c:showCatName val="0"/>
              <c:showSerName val="0"/>
              <c:showPercent val="0"/>
              <c:showBubbleSize val="0"/>
            </c:dLbl>
            <c:showLegendKey val="0"/>
            <c:showVal val="1"/>
            <c:showCatName val="0"/>
            <c:showSerName val="0"/>
            <c:showPercent val="0"/>
            <c:showBubbleSize val="0"/>
            <c:showLeaderLines val="1"/>
          </c:dLbls>
          <c:cat>
            <c:strRef>
              <c:f>Sayfa1!$A$2:$A$3</c:f>
              <c:strCache>
                <c:ptCount val="2"/>
                <c:pt idx="0">
                  <c:v>GERİ DÖNEN KREDİ</c:v>
                </c:pt>
                <c:pt idx="1">
                  <c:v>TAKİBE GİREN KREDİ</c:v>
                </c:pt>
              </c:strCache>
            </c:strRef>
          </c:cat>
          <c:val>
            <c:numRef>
              <c:f>Sayfa1!$B$2:$B$3</c:f>
              <c:numCache>
                <c:formatCode>0.00%</c:formatCode>
                <c:ptCount val="2"/>
                <c:pt idx="0">
                  <c:v>0.97430000000000005</c:v>
                </c:pt>
                <c:pt idx="1">
                  <c:v>2.5700000000000001E-2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4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TURİZM SEKTÖRÜ NAKDİ KREDİ </a:t>
            </a:r>
            <a:r>
              <a:rPr lang="en-US" sz="14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BOR</a:t>
            </a:r>
            <a:r>
              <a:rPr lang="tr-TR" sz="14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CUNDA İLK 5 ŞEHİR</a:t>
            </a:r>
            <a:endParaRPr lang="en-US" sz="14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BORÇ</c:v>
                </c:pt>
              </c:strCache>
            </c:strRef>
          </c:tx>
          <c:invertIfNegative val="0"/>
          <c:dLbls>
            <c:dLbl>
              <c:idx val="0"/>
              <c:tx>
                <c:rich>
                  <a:bodyPr/>
                  <a:lstStyle/>
                  <a:p>
                    <a:r>
                      <a:rPr lang="tr-TR"/>
                      <a:t>10</a:t>
                    </a:r>
                    <a:r>
                      <a:rPr lang="en-US"/>
                      <a:t>.</a:t>
                    </a:r>
                    <a:r>
                      <a:rPr lang="tr-TR"/>
                      <a:t>530</a:t>
                    </a:r>
                    <a:r>
                      <a:rPr lang="en-US"/>
                      <a:t>.</a:t>
                    </a:r>
                    <a:r>
                      <a:rPr lang="tr-TR"/>
                      <a:t>444</a:t>
                    </a:r>
                    <a:endParaRPr lang="en-US"/>
                  </a:p>
                </c:rich>
              </c:tx>
              <c:showLegendKey val="0"/>
              <c:showVal val="1"/>
              <c:showCatName val="0"/>
              <c:showSerName val="0"/>
              <c:showPercent val="0"/>
              <c:showBubbleSize val="0"/>
            </c:dLbl>
            <c:dLbl>
              <c:idx val="1"/>
              <c:tx>
                <c:rich>
                  <a:bodyPr/>
                  <a:lstStyle/>
                  <a:p>
                    <a:r>
                      <a:rPr lang="en-US"/>
                      <a:t>8.</a:t>
                    </a:r>
                    <a:r>
                      <a:rPr lang="tr-TR"/>
                      <a:t>892</a:t>
                    </a:r>
                    <a:r>
                      <a:rPr lang="en-US"/>
                      <a:t>.</a:t>
                    </a:r>
                    <a:r>
                      <a:rPr lang="tr-TR"/>
                      <a:t>633</a:t>
                    </a:r>
                    <a:endParaRPr lang="en-US"/>
                  </a:p>
                </c:rich>
              </c:tx>
              <c:showLegendKey val="0"/>
              <c:showVal val="1"/>
              <c:showCatName val="0"/>
              <c:showSerName val="0"/>
              <c:showPercent val="0"/>
              <c:showBubbleSize val="0"/>
            </c:dLbl>
            <c:dLbl>
              <c:idx val="2"/>
              <c:layout>
                <c:manualLayout>
                  <c:x val="0"/>
                  <c:y val="-3.174603174603189E-2"/>
                </c:manualLayout>
              </c:layout>
              <c:tx>
                <c:rich>
                  <a:bodyPr/>
                  <a:lstStyle/>
                  <a:p>
                    <a:r>
                      <a:rPr lang="tr-TR"/>
                      <a:t>1</a:t>
                    </a:r>
                    <a:r>
                      <a:rPr lang="en-US"/>
                      <a:t>.</a:t>
                    </a:r>
                    <a:r>
                      <a:rPr lang="tr-TR"/>
                      <a:t>860</a:t>
                    </a:r>
                    <a:r>
                      <a:rPr lang="en-US"/>
                      <a:t>.</a:t>
                    </a:r>
                    <a:r>
                      <a:rPr lang="tr-TR"/>
                      <a:t>686</a:t>
                    </a:r>
                    <a:endParaRPr lang="en-US"/>
                  </a:p>
                </c:rich>
              </c:tx>
              <c:showLegendKey val="0"/>
              <c:showVal val="1"/>
              <c:showCatName val="0"/>
              <c:showSerName val="0"/>
              <c:showPercent val="0"/>
              <c:showBubbleSize val="0"/>
            </c:dLbl>
            <c:dLbl>
              <c:idx val="3"/>
              <c:tx>
                <c:rich>
                  <a:bodyPr/>
                  <a:lstStyle/>
                  <a:p>
                    <a:r>
                      <a:rPr lang="en-US"/>
                      <a:t>1.</a:t>
                    </a:r>
                    <a:r>
                      <a:rPr lang="tr-TR"/>
                      <a:t>610</a:t>
                    </a:r>
                    <a:r>
                      <a:rPr lang="en-US"/>
                      <a:t>.</a:t>
                    </a:r>
                    <a:r>
                      <a:rPr lang="tr-TR"/>
                      <a:t>498</a:t>
                    </a:r>
                    <a:endParaRPr lang="en-US"/>
                  </a:p>
                </c:rich>
              </c:tx>
              <c:showLegendKey val="0"/>
              <c:showVal val="1"/>
              <c:showCatName val="0"/>
              <c:showSerName val="0"/>
              <c:showPercent val="0"/>
              <c:showBubbleSize val="0"/>
            </c:dLbl>
            <c:dLbl>
              <c:idx val="4"/>
              <c:tx>
                <c:rich>
                  <a:bodyPr/>
                  <a:lstStyle/>
                  <a:p>
                    <a:r>
                      <a:rPr lang="en-US"/>
                      <a:t>5</a:t>
                    </a:r>
                    <a:r>
                      <a:rPr lang="tr-TR"/>
                      <a:t>58</a:t>
                    </a:r>
                    <a:r>
                      <a:rPr lang="en-US"/>
                      <a:t>.</a:t>
                    </a:r>
                    <a:r>
                      <a:rPr lang="tr-TR"/>
                      <a:t>502</a:t>
                    </a:r>
                    <a:endParaRPr lang="en-US"/>
                  </a:p>
                </c:rich>
              </c:tx>
              <c:showLegendKey val="0"/>
              <c:showVal val="1"/>
              <c:showCatName val="0"/>
              <c:showSerName val="0"/>
              <c:showPercent val="0"/>
              <c:showBubbleSize val="0"/>
            </c:dLbl>
            <c:txPr>
              <a:bodyPr/>
              <a:lstStyle/>
              <a:p>
                <a:pPr>
                  <a:defRPr b="1">
                    <a:ln>
                      <a:solidFill>
                        <a:schemeClr val="tx1"/>
                      </a:solidFill>
                    </a:ln>
                  </a:defRPr>
                </a:pPr>
                <a:endParaRPr lang="tr-TR"/>
              </a:p>
            </c:txPr>
            <c:showLegendKey val="0"/>
            <c:showVal val="1"/>
            <c:showCatName val="0"/>
            <c:showSerName val="0"/>
            <c:showPercent val="0"/>
            <c:showBubbleSize val="0"/>
            <c:showLeaderLines val="0"/>
          </c:dLbls>
          <c:cat>
            <c:strRef>
              <c:f>Sayfa1!$A$2:$A$6</c:f>
              <c:strCache>
                <c:ptCount val="5"/>
                <c:pt idx="0">
                  <c:v>İSTANBUL</c:v>
                </c:pt>
                <c:pt idx="1">
                  <c:v>ANTALYA</c:v>
                </c:pt>
                <c:pt idx="2">
                  <c:v>ANKARA</c:v>
                </c:pt>
                <c:pt idx="3">
                  <c:v>MUĞLA</c:v>
                </c:pt>
                <c:pt idx="4">
                  <c:v>İZMİR</c:v>
                </c:pt>
              </c:strCache>
            </c:strRef>
          </c:cat>
          <c:val>
            <c:numRef>
              <c:f>Sayfa1!$B$2:$B$6</c:f>
              <c:numCache>
                <c:formatCode>#,##0</c:formatCode>
                <c:ptCount val="5"/>
                <c:pt idx="0">
                  <c:v>10530444</c:v>
                </c:pt>
                <c:pt idx="1">
                  <c:v>8892633</c:v>
                </c:pt>
                <c:pt idx="2">
                  <c:v>1860686</c:v>
                </c:pt>
                <c:pt idx="3">
                  <c:v>1610498</c:v>
                </c:pt>
                <c:pt idx="4">
                  <c:v>558502</c:v>
                </c:pt>
              </c:numCache>
            </c:numRef>
          </c:val>
        </c:ser>
        <c:dLbls>
          <c:showLegendKey val="0"/>
          <c:showVal val="0"/>
          <c:showCatName val="0"/>
          <c:showSerName val="0"/>
          <c:showPercent val="0"/>
          <c:showBubbleSize val="0"/>
        </c:dLbls>
        <c:gapWidth val="150"/>
        <c:shape val="box"/>
        <c:axId val="170614272"/>
        <c:axId val="122436352"/>
        <c:axId val="0"/>
      </c:bar3DChart>
      <c:catAx>
        <c:axId val="170614272"/>
        <c:scaling>
          <c:orientation val="minMax"/>
        </c:scaling>
        <c:delete val="0"/>
        <c:axPos val="b"/>
        <c:majorTickMark val="out"/>
        <c:minorTickMark val="none"/>
        <c:tickLblPos val="nextTo"/>
        <c:crossAx val="122436352"/>
        <c:crosses val="autoZero"/>
        <c:auto val="1"/>
        <c:lblAlgn val="ctr"/>
        <c:lblOffset val="100"/>
        <c:noMultiLvlLbl val="0"/>
      </c:catAx>
      <c:valAx>
        <c:axId val="122436352"/>
        <c:scaling>
          <c:orientation val="minMax"/>
        </c:scaling>
        <c:delete val="0"/>
        <c:axPos val="l"/>
        <c:majorGridlines/>
        <c:numFmt formatCode="#,##0" sourceLinked="1"/>
        <c:majorTickMark val="out"/>
        <c:minorTickMark val="none"/>
        <c:tickLblPos val="nextTo"/>
        <c:crossAx val="170614272"/>
        <c:crosses val="autoZero"/>
        <c:crossBetween val="between"/>
      </c:valAx>
    </c:plotArea>
    <c:legend>
      <c:legendPos val="r"/>
      <c:overlay val="0"/>
    </c:legend>
    <c:plotVisOnly val="1"/>
    <c:dispBlanksAs val="gap"/>
    <c:showDLblsOverMax val="0"/>
  </c:chart>
  <c:spPr>
    <a:effectLst>
      <a:outerShdw blurRad="50800" dist="38100" dir="18900000" algn="bl" rotWithShape="0">
        <a:prstClr val="black">
          <a:alpha val="40000"/>
        </a:prstClr>
      </a:outerShdw>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TAKİBE GİREN </a:t>
            </a:r>
            <a:r>
              <a:rPr lang="tr-TR"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TURİZM SEKTÖRÜ </a:t>
            </a:r>
            <a:r>
              <a:rPr lang="en-US"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BOR</a:t>
            </a:r>
            <a:r>
              <a:rPr lang="tr-TR"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CUNDA İLK 5 ŞEHİR</a:t>
            </a:r>
            <a:endParaRPr lang="en-US"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Sayfa1!$B$1</c:f>
              <c:strCache>
                <c:ptCount val="1"/>
                <c:pt idx="0">
                  <c:v>TURİZM SEKTÖRÜNDE TAKİBE GİREN BORÇ</c:v>
                </c:pt>
              </c:strCache>
            </c:strRef>
          </c:tx>
          <c:invertIfNegative val="0"/>
          <c:dLbls>
            <c:dLbl>
              <c:idx val="0"/>
              <c:layout>
                <c:manualLayout>
                  <c:x val="1.6203703703703703E-2"/>
                  <c:y val="-0.36904793150856141"/>
                </c:manualLayout>
              </c:layout>
              <c:spPr/>
              <c:txPr>
                <a:bodyPr/>
                <a:lstStyle/>
                <a:p>
                  <a:pPr>
                    <a:defRPr b="1">
                      <a:ln>
                        <a:solidFill>
                          <a:schemeClr val="tx1"/>
                        </a:solidFill>
                      </a:ln>
                      <a:effectLst/>
                    </a:defRPr>
                  </a:pPr>
                  <a:endParaRPr lang="tr-TR"/>
                </a:p>
              </c:txPr>
              <c:showLegendKey val="0"/>
              <c:showVal val="1"/>
              <c:showCatName val="0"/>
              <c:showSerName val="0"/>
              <c:showPercent val="0"/>
              <c:showBubbleSize val="0"/>
            </c:dLbl>
            <c:dLbl>
              <c:idx val="1"/>
              <c:layout>
                <c:manualLayout>
                  <c:x val="1.6203703703703703E-2"/>
                  <c:y val="-0.2817460317460318"/>
                </c:manualLayout>
              </c:layout>
              <c:spPr/>
              <c:txPr>
                <a:bodyPr/>
                <a:lstStyle/>
                <a:p>
                  <a:pPr>
                    <a:defRPr b="1">
                      <a:ln>
                        <a:solidFill>
                          <a:schemeClr val="tx1"/>
                        </a:solidFill>
                      </a:ln>
                      <a:effectLst/>
                    </a:defRPr>
                  </a:pPr>
                  <a:endParaRPr lang="tr-TR"/>
                </a:p>
              </c:txPr>
              <c:showLegendKey val="0"/>
              <c:showVal val="1"/>
              <c:showCatName val="0"/>
              <c:showSerName val="0"/>
              <c:showPercent val="0"/>
              <c:showBubbleSize val="0"/>
            </c:dLbl>
            <c:dLbl>
              <c:idx val="2"/>
              <c:layout>
                <c:manualLayout>
                  <c:x val="1.8518518518518517E-2"/>
                  <c:y val="-0.17857142857142858"/>
                </c:manualLayout>
              </c:layout>
              <c:spPr/>
              <c:txPr>
                <a:bodyPr/>
                <a:lstStyle/>
                <a:p>
                  <a:pPr>
                    <a:defRPr b="1">
                      <a:ln>
                        <a:solidFill>
                          <a:schemeClr val="tx1"/>
                        </a:solidFill>
                      </a:ln>
                      <a:effectLst/>
                    </a:defRPr>
                  </a:pPr>
                  <a:endParaRPr lang="tr-TR"/>
                </a:p>
              </c:txPr>
              <c:showLegendKey val="0"/>
              <c:showVal val="1"/>
              <c:showCatName val="0"/>
              <c:showSerName val="0"/>
              <c:showPercent val="0"/>
              <c:showBubbleSize val="0"/>
            </c:dLbl>
            <c:dLbl>
              <c:idx val="3"/>
              <c:layout>
                <c:manualLayout>
                  <c:x val="1.8518518518518517E-2"/>
                  <c:y val="-0.15476190476190477"/>
                </c:manualLayout>
              </c:layout>
              <c:spPr/>
              <c:txPr>
                <a:bodyPr/>
                <a:lstStyle/>
                <a:p>
                  <a:pPr>
                    <a:defRPr b="1">
                      <a:ln>
                        <a:solidFill>
                          <a:schemeClr val="tx1"/>
                        </a:solidFill>
                      </a:ln>
                      <a:effectLst/>
                    </a:defRPr>
                  </a:pPr>
                  <a:endParaRPr lang="tr-TR"/>
                </a:p>
              </c:txPr>
              <c:showLegendKey val="0"/>
              <c:showVal val="1"/>
              <c:showCatName val="0"/>
              <c:showSerName val="0"/>
              <c:showPercent val="0"/>
              <c:showBubbleSize val="0"/>
            </c:dLbl>
            <c:dLbl>
              <c:idx val="4"/>
              <c:layout>
                <c:manualLayout>
                  <c:x val="1.6203703703703703E-2"/>
                  <c:y val="-7.9365079365079222E-2"/>
                </c:manualLayout>
              </c:layout>
              <c:showLegendKey val="0"/>
              <c:showVal val="1"/>
              <c:showCatName val="0"/>
              <c:showSerName val="0"/>
              <c:showPercent val="0"/>
              <c:showBubbleSize val="0"/>
            </c:dLbl>
            <c:txPr>
              <a:bodyPr/>
              <a:lstStyle/>
              <a:p>
                <a:pPr>
                  <a:defRPr>
                    <a:ln>
                      <a:solidFill>
                        <a:schemeClr val="tx1"/>
                      </a:solidFill>
                    </a:ln>
                    <a:effectLst/>
                  </a:defRPr>
                </a:pPr>
                <a:endParaRPr lang="tr-TR"/>
              </a:p>
            </c:txPr>
            <c:showLegendKey val="0"/>
            <c:showVal val="1"/>
            <c:showCatName val="0"/>
            <c:showSerName val="0"/>
            <c:showPercent val="0"/>
            <c:showBubbleSize val="0"/>
            <c:showLeaderLines val="0"/>
          </c:dLbls>
          <c:cat>
            <c:strRef>
              <c:f>Sayfa1!$A$2:$A$6</c:f>
              <c:strCache>
                <c:ptCount val="5"/>
                <c:pt idx="0">
                  <c:v>İSTANBUL</c:v>
                </c:pt>
                <c:pt idx="1">
                  <c:v>ANTALYA</c:v>
                </c:pt>
                <c:pt idx="2">
                  <c:v>MUĞLA</c:v>
                </c:pt>
                <c:pt idx="3">
                  <c:v>ANKARA</c:v>
                </c:pt>
                <c:pt idx="4">
                  <c:v>İZMİR</c:v>
                </c:pt>
              </c:strCache>
            </c:strRef>
          </c:cat>
          <c:val>
            <c:numRef>
              <c:f>Sayfa1!$B$2:$B$6</c:f>
              <c:numCache>
                <c:formatCode>#,##0</c:formatCode>
                <c:ptCount val="5"/>
                <c:pt idx="0">
                  <c:v>172586</c:v>
                </c:pt>
                <c:pt idx="1">
                  <c:v>123413</c:v>
                </c:pt>
                <c:pt idx="2">
                  <c:v>62444</c:v>
                </c:pt>
                <c:pt idx="3">
                  <c:v>59036</c:v>
                </c:pt>
                <c:pt idx="4">
                  <c:v>21638</c:v>
                </c:pt>
              </c:numCache>
            </c:numRef>
          </c:val>
        </c:ser>
        <c:dLbls>
          <c:showLegendKey val="0"/>
          <c:showVal val="0"/>
          <c:showCatName val="0"/>
          <c:showSerName val="0"/>
          <c:showPercent val="0"/>
          <c:showBubbleSize val="0"/>
        </c:dLbls>
        <c:gapWidth val="150"/>
        <c:shape val="box"/>
        <c:axId val="118437888"/>
        <c:axId val="170705472"/>
        <c:axId val="0"/>
      </c:bar3DChart>
      <c:catAx>
        <c:axId val="118437888"/>
        <c:scaling>
          <c:orientation val="minMax"/>
        </c:scaling>
        <c:delete val="0"/>
        <c:axPos val="b"/>
        <c:majorTickMark val="out"/>
        <c:minorTickMark val="none"/>
        <c:tickLblPos val="nextTo"/>
        <c:crossAx val="170705472"/>
        <c:crosses val="autoZero"/>
        <c:auto val="1"/>
        <c:lblAlgn val="ctr"/>
        <c:lblOffset val="100"/>
        <c:noMultiLvlLbl val="0"/>
      </c:catAx>
      <c:valAx>
        <c:axId val="170705472"/>
        <c:scaling>
          <c:orientation val="minMax"/>
        </c:scaling>
        <c:delete val="0"/>
        <c:axPos val="l"/>
        <c:majorGridlines/>
        <c:numFmt formatCode="#,##0" sourceLinked="1"/>
        <c:majorTickMark val="out"/>
        <c:minorTickMark val="none"/>
        <c:tickLblPos val="nextTo"/>
        <c:crossAx val="118437888"/>
        <c:crosses val="autoZero"/>
        <c:crossBetween val="between"/>
      </c:valAx>
    </c:plotArea>
    <c:plotVisOnly val="1"/>
    <c:dispBlanksAs val="gap"/>
    <c:showDLblsOverMax val="0"/>
  </c:chart>
  <c:spPr>
    <a:effectLst>
      <a:outerShdw blurRad="50800" dist="38100" dir="18900000" algn="bl" rotWithShape="0">
        <a:prstClr val="black">
          <a:alpha val="40000"/>
        </a:prstClr>
      </a:outerShdw>
    </a:effectLst>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fatih.gonul</dc:creator>
  <cp:lastModifiedBy>fatih.gonul</cp:lastModifiedBy>
  <cp:revision>2</cp:revision>
  <cp:lastPrinted>2014-07-07T06:28:00Z</cp:lastPrinted>
  <dcterms:created xsi:type="dcterms:W3CDTF">2014-07-07T13:42:00Z</dcterms:created>
  <dcterms:modified xsi:type="dcterms:W3CDTF">2014-07-07T13:42:00Z</dcterms:modified>
</cp:coreProperties>
</file>