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BA" w:rsidRDefault="004900BA" w:rsidP="004900BA"/>
    <w:p w:rsidR="00F60EE3" w:rsidRPr="009D7F2A" w:rsidRDefault="00F60EE3" w:rsidP="00687531">
      <w:pPr>
        <w:shd w:val="clear" w:color="auto" w:fill="8DB3E2" w:themeFill="text2" w:themeFillTint="66"/>
        <w:rPr>
          <w:b/>
          <w:sz w:val="36"/>
          <w:szCs w:val="36"/>
        </w:rPr>
      </w:pPr>
      <w:r w:rsidRPr="009D7F2A">
        <w:rPr>
          <w:b/>
          <w:sz w:val="36"/>
          <w:szCs w:val="36"/>
        </w:rPr>
        <w:t>TURİZM</w:t>
      </w:r>
      <w:r w:rsidR="00DB545A">
        <w:rPr>
          <w:b/>
          <w:sz w:val="36"/>
          <w:szCs w:val="36"/>
        </w:rPr>
        <w:t xml:space="preserve"> SEKTÖRÜ</w:t>
      </w:r>
      <w:r w:rsidRPr="009D7F2A">
        <w:rPr>
          <w:b/>
          <w:sz w:val="36"/>
          <w:szCs w:val="36"/>
        </w:rPr>
        <w:t xml:space="preserve"> </w:t>
      </w:r>
      <w:r w:rsidR="009D7F2A">
        <w:rPr>
          <w:b/>
          <w:sz w:val="36"/>
          <w:szCs w:val="36"/>
        </w:rPr>
        <w:t xml:space="preserve">KREDİ </w:t>
      </w:r>
      <w:r w:rsidR="001A27E7">
        <w:rPr>
          <w:b/>
          <w:sz w:val="36"/>
          <w:szCs w:val="36"/>
        </w:rPr>
        <w:t>BORCUNA EN SADIK SEKTÖRLER ARASINDA</w:t>
      </w:r>
    </w:p>
    <w:p w:rsidR="00E5545E" w:rsidRDefault="001C4354" w:rsidP="004900BA">
      <w:pPr>
        <w:rPr>
          <w:sz w:val="24"/>
          <w:szCs w:val="24"/>
        </w:rPr>
      </w:pPr>
      <w:r>
        <w:rPr>
          <w:sz w:val="24"/>
          <w:szCs w:val="24"/>
        </w:rPr>
        <w:t xml:space="preserve">TÜRSAB Ar-Ge Departmanı tarafından </w:t>
      </w:r>
      <w:r w:rsidR="004900BA" w:rsidRPr="0082779B">
        <w:rPr>
          <w:sz w:val="24"/>
          <w:szCs w:val="24"/>
        </w:rPr>
        <w:t>Bankacılık Düzenleme ve Denetleme Kurumu (BDDK) veriler</w:t>
      </w:r>
      <w:r>
        <w:rPr>
          <w:sz w:val="24"/>
          <w:szCs w:val="24"/>
        </w:rPr>
        <w:t xml:space="preserve">inden derlenen bilgilere göre; </w:t>
      </w:r>
      <w:bookmarkStart w:id="0" w:name="_GoBack"/>
      <w:bookmarkEnd w:id="0"/>
      <w:r w:rsidR="00E5545E">
        <w:rPr>
          <w:sz w:val="24"/>
          <w:szCs w:val="24"/>
        </w:rPr>
        <w:t xml:space="preserve">turizm sektörü borcuna en sadık sektörler arasında yer aldı. Bankalar tarafından </w:t>
      </w:r>
      <w:r w:rsidR="00E5545E" w:rsidRPr="00E5545E">
        <w:rPr>
          <w:sz w:val="24"/>
          <w:szCs w:val="24"/>
        </w:rPr>
        <w:t>turizm sektörüne kullandırılan krediler</w:t>
      </w:r>
      <w:r w:rsidR="00E5545E">
        <w:rPr>
          <w:sz w:val="24"/>
          <w:szCs w:val="24"/>
        </w:rPr>
        <w:t xml:space="preserve"> 2013 yılında 25 milyar TL’yi aşarken </w:t>
      </w:r>
      <w:r w:rsidR="00E5545E" w:rsidRPr="00E5545E">
        <w:rPr>
          <w:sz w:val="24"/>
          <w:szCs w:val="24"/>
        </w:rPr>
        <w:t>geri dönmeyen kredilerin tutarı</w:t>
      </w:r>
      <w:r w:rsidR="00E5545E">
        <w:rPr>
          <w:sz w:val="24"/>
          <w:szCs w:val="24"/>
        </w:rPr>
        <w:t xml:space="preserve"> 638</w:t>
      </w:r>
      <w:r w:rsidR="00E5545E" w:rsidRPr="00E5545E">
        <w:rPr>
          <w:sz w:val="24"/>
          <w:szCs w:val="24"/>
        </w:rPr>
        <w:t xml:space="preserve"> milyon TL</w:t>
      </w:r>
      <w:r w:rsidR="00E5545E">
        <w:rPr>
          <w:sz w:val="24"/>
          <w:szCs w:val="24"/>
        </w:rPr>
        <w:t xml:space="preserve"> düzeyinde gerçekleşti. Buna göre turizm sektörüne kullandırıla</w:t>
      </w:r>
      <w:r w:rsidR="001A27E7">
        <w:rPr>
          <w:sz w:val="24"/>
          <w:szCs w:val="24"/>
        </w:rPr>
        <w:t>n kred</w:t>
      </w:r>
      <w:r w:rsidR="00B368C6">
        <w:rPr>
          <w:sz w:val="24"/>
          <w:szCs w:val="24"/>
        </w:rPr>
        <w:t xml:space="preserve">ilerin geri dönüş oranı </w:t>
      </w:r>
      <w:r w:rsidR="00B368C6" w:rsidRPr="00B368C6">
        <w:rPr>
          <w:b/>
          <w:sz w:val="24"/>
          <w:szCs w:val="24"/>
          <w:u w:val="single"/>
        </w:rPr>
        <w:t xml:space="preserve">% </w:t>
      </w:r>
      <w:r w:rsidR="001A27E7" w:rsidRPr="00B368C6">
        <w:rPr>
          <w:b/>
          <w:sz w:val="24"/>
          <w:szCs w:val="24"/>
          <w:u w:val="single"/>
        </w:rPr>
        <w:t>97,47</w:t>
      </w:r>
      <w:r w:rsidR="001A27E7">
        <w:rPr>
          <w:sz w:val="24"/>
          <w:szCs w:val="24"/>
        </w:rPr>
        <w:t xml:space="preserve"> oldu. </w:t>
      </w:r>
    </w:p>
    <w:p w:rsidR="00DB545A" w:rsidRPr="0082779B" w:rsidRDefault="00DB545A" w:rsidP="00DB545A">
      <w:pPr>
        <w:rPr>
          <w:b/>
          <w:sz w:val="24"/>
          <w:szCs w:val="24"/>
        </w:rPr>
      </w:pPr>
      <w:r>
        <w:rPr>
          <w:b/>
          <w:sz w:val="24"/>
          <w:szCs w:val="24"/>
        </w:rPr>
        <w:t>TURİZM</w:t>
      </w:r>
      <w:r w:rsidR="00C43237">
        <w:rPr>
          <w:b/>
          <w:sz w:val="24"/>
          <w:szCs w:val="24"/>
        </w:rPr>
        <w:t xml:space="preserve"> SEKTÖRÜ BORÇ ÖDEMEDE; </w:t>
      </w:r>
      <w:r>
        <w:rPr>
          <w:b/>
          <w:sz w:val="24"/>
          <w:szCs w:val="24"/>
        </w:rPr>
        <w:t>İNŞAAT, TEKSTİL, GIDA, ZİRAAT VE DENİZCİLİK SEKTÖRÜNÜ GE</w:t>
      </w:r>
      <w:r w:rsidR="00C43237">
        <w:rPr>
          <w:b/>
          <w:sz w:val="24"/>
          <w:szCs w:val="24"/>
        </w:rPr>
        <w:t>ÇTİ</w:t>
      </w:r>
    </w:p>
    <w:p w:rsidR="00B368C6" w:rsidRDefault="001A27E7" w:rsidP="004900BA">
      <w:pPr>
        <w:rPr>
          <w:sz w:val="24"/>
          <w:szCs w:val="24"/>
        </w:rPr>
      </w:pPr>
      <w:r>
        <w:rPr>
          <w:sz w:val="24"/>
          <w:szCs w:val="24"/>
        </w:rPr>
        <w:t xml:space="preserve">Borcuna en sadık sektör grubu </w:t>
      </w:r>
      <w:r w:rsidR="00B368C6">
        <w:rPr>
          <w:sz w:val="24"/>
          <w:szCs w:val="24"/>
        </w:rPr>
        <w:t>%</w:t>
      </w:r>
      <w:r>
        <w:rPr>
          <w:sz w:val="24"/>
          <w:szCs w:val="24"/>
        </w:rPr>
        <w:t xml:space="preserve"> 99,</w:t>
      </w:r>
      <w:r w:rsidR="00B368C6">
        <w:rPr>
          <w:sz w:val="24"/>
          <w:szCs w:val="24"/>
        </w:rPr>
        <w:t>72</w:t>
      </w:r>
      <w:r>
        <w:rPr>
          <w:sz w:val="24"/>
          <w:szCs w:val="24"/>
        </w:rPr>
        <w:t xml:space="preserve">’lik kredi dönüşü ile </w:t>
      </w:r>
      <w:r w:rsidR="00B368C6">
        <w:rPr>
          <w:sz w:val="24"/>
          <w:szCs w:val="24"/>
        </w:rPr>
        <w:t xml:space="preserve">finansal kuruluşlar sektörü olurken onu % 99,41’lik </w:t>
      </w:r>
      <w:r w:rsidR="00DF0DBC">
        <w:rPr>
          <w:sz w:val="24"/>
          <w:szCs w:val="24"/>
        </w:rPr>
        <w:t xml:space="preserve">kredi dönüş </w:t>
      </w:r>
      <w:r w:rsidR="00B368C6">
        <w:rPr>
          <w:sz w:val="24"/>
          <w:szCs w:val="24"/>
        </w:rPr>
        <w:t xml:space="preserve">oranı ile </w:t>
      </w:r>
      <w:r>
        <w:rPr>
          <w:sz w:val="24"/>
          <w:szCs w:val="24"/>
        </w:rPr>
        <w:t xml:space="preserve">enerji sektörü </w:t>
      </w:r>
      <w:r w:rsidR="00B368C6">
        <w:rPr>
          <w:sz w:val="24"/>
          <w:szCs w:val="24"/>
        </w:rPr>
        <w:t xml:space="preserve">% 98,50’lik kredi dönüş oranı ile metal ve işlenmiş metal sektörü takip etti. </w:t>
      </w:r>
    </w:p>
    <w:p w:rsidR="001A27E7" w:rsidRDefault="00B368C6" w:rsidP="004900BA">
      <w:pPr>
        <w:rPr>
          <w:sz w:val="24"/>
          <w:szCs w:val="24"/>
        </w:rPr>
      </w:pPr>
      <w:r>
        <w:rPr>
          <w:sz w:val="24"/>
          <w:szCs w:val="24"/>
        </w:rPr>
        <w:t>Turizm sektörü ise % 97,47’lik kredi dönüş oranı ile gıda, inşaat, tekstil, ziraat ve denizcilik gibi sektörleri geride bırakarak borcuna en sadık sektörler aras</w:t>
      </w:r>
      <w:r w:rsidR="00DB545A">
        <w:rPr>
          <w:sz w:val="24"/>
          <w:szCs w:val="24"/>
        </w:rPr>
        <w:t>ında yer aldı.</w:t>
      </w:r>
    </w:p>
    <w:p w:rsidR="00687531" w:rsidRPr="0082779B" w:rsidRDefault="0082779B" w:rsidP="004900BA">
      <w:pPr>
        <w:rPr>
          <w:b/>
          <w:sz w:val="24"/>
          <w:szCs w:val="24"/>
        </w:rPr>
      </w:pPr>
      <w:r>
        <w:rPr>
          <w:b/>
          <w:sz w:val="24"/>
          <w:szCs w:val="24"/>
        </w:rPr>
        <w:t xml:space="preserve">2013’TE TURİZM SEKTÖRÜNÜN </w:t>
      </w:r>
      <w:r w:rsidR="00687531" w:rsidRPr="0082779B">
        <w:rPr>
          <w:b/>
          <w:sz w:val="24"/>
          <w:szCs w:val="24"/>
        </w:rPr>
        <w:t>NAKDİ KREDİ BORCU YÜZDE 40 ARTTI</w:t>
      </w:r>
    </w:p>
    <w:p w:rsidR="00F60EE3" w:rsidRPr="0082779B" w:rsidRDefault="00F60EE3" w:rsidP="004900BA">
      <w:pPr>
        <w:rPr>
          <w:sz w:val="24"/>
          <w:szCs w:val="24"/>
        </w:rPr>
      </w:pPr>
      <w:r w:rsidRPr="0082779B">
        <w:rPr>
          <w:sz w:val="24"/>
          <w:szCs w:val="24"/>
        </w:rPr>
        <w:t xml:space="preserve">Bankacılık Düzenleme ve Denetleme Kurumu (BDDK) verilerine göre 2012 yılsonu itibariyle 17 milyar 913 milyon 575 bin TL düzeyinde bulunan turizm sektörünün nakdi kredi borcu son bir yıllık dönemde yüzde 40,9 oranında artarak 25 milyar 256 milyon 923 TL düzeyine çıktı. </w:t>
      </w:r>
    </w:p>
    <w:p w:rsidR="00687531" w:rsidRDefault="00687531" w:rsidP="004900BA">
      <w:r w:rsidRPr="0082779B">
        <w:rPr>
          <w:sz w:val="24"/>
          <w:szCs w:val="24"/>
        </w:rPr>
        <w:t xml:space="preserve">Kredi borcunda İstanbul ve Antalya başı çekerken bu iki ilimizi Ankara, Muğla ve İzmir takip etti. </w:t>
      </w:r>
    </w:p>
    <w:p w:rsidR="00F60EE3" w:rsidRDefault="00F60EE3" w:rsidP="004900BA">
      <w:r w:rsidRPr="00C20AF8">
        <w:rPr>
          <w:b/>
          <w:noProof/>
          <w:lang w:eastAsia="tr-TR"/>
        </w:rPr>
        <w:drawing>
          <wp:inline distT="0" distB="0" distL="0" distR="0" wp14:anchorId="75EADF6B" wp14:editId="4E8A094D">
            <wp:extent cx="5486400" cy="3200400"/>
            <wp:effectExtent l="38100" t="95250" r="95250" b="3810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1F91" w:rsidRDefault="00381F91" w:rsidP="004900BA"/>
    <w:p w:rsidR="00381F91" w:rsidRDefault="00381F91" w:rsidP="004900BA"/>
    <w:p w:rsidR="00381F91" w:rsidRDefault="00381F91" w:rsidP="004900BA"/>
    <w:p w:rsidR="00381F91" w:rsidRDefault="00381F91" w:rsidP="004900BA"/>
    <w:tbl>
      <w:tblPr>
        <w:tblW w:w="46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2806"/>
      </w:tblGrid>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b/>
                <w:color w:val="000000"/>
                <w:sz w:val="24"/>
                <w:szCs w:val="24"/>
                <w:lang w:eastAsia="tr-TR"/>
              </w:rPr>
            </w:pPr>
            <w:r w:rsidRPr="0082779B">
              <w:rPr>
                <w:rFonts w:ascii="Calibri" w:eastAsia="Times New Roman" w:hAnsi="Calibri" w:cs="Times New Roman"/>
                <w:b/>
                <w:color w:val="000000"/>
                <w:sz w:val="24"/>
                <w:szCs w:val="24"/>
                <w:lang w:eastAsia="tr-TR"/>
              </w:rPr>
              <w:lastRenderedPageBreak/>
              <w:t>ŞEHİR</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b/>
                <w:color w:val="000000"/>
                <w:sz w:val="24"/>
                <w:szCs w:val="24"/>
                <w:lang w:eastAsia="tr-TR"/>
              </w:rPr>
            </w:pPr>
            <w:r w:rsidRPr="0082779B">
              <w:rPr>
                <w:rFonts w:ascii="Calibri" w:eastAsia="Times New Roman" w:hAnsi="Calibri" w:cs="Times New Roman"/>
                <w:b/>
                <w:color w:val="000000"/>
                <w:sz w:val="24"/>
                <w:szCs w:val="24"/>
                <w:lang w:eastAsia="tr-TR"/>
              </w:rPr>
              <w:t>NAKDİ KREDİ BORCU</w:t>
            </w:r>
            <w:r w:rsidR="00C20AF8">
              <w:rPr>
                <w:rFonts w:ascii="Calibri" w:eastAsia="Times New Roman" w:hAnsi="Calibri" w:cs="Times New Roman"/>
                <w:b/>
                <w:color w:val="000000"/>
                <w:sz w:val="24"/>
                <w:szCs w:val="24"/>
                <w:lang w:eastAsia="tr-TR"/>
              </w:rPr>
              <w:t xml:space="preserve"> (TL)</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İSTANBUL</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9.491.328</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ANTALYA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8.342.054</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ANKARA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2.091.552</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MUĞLA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1.539.910</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İZMİR</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529.939</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BURSA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367.050</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AYDIN</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317.636</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MANİSA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231.151</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ESKİŞEHİR</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191.859</w:t>
            </w:r>
            <w:r w:rsidR="00C20AF8">
              <w:rPr>
                <w:rFonts w:ascii="Calibri" w:eastAsia="Times New Roman" w:hAnsi="Calibri" w:cs="Times New Roman"/>
                <w:color w:val="000000"/>
                <w:sz w:val="24"/>
                <w:szCs w:val="24"/>
                <w:lang w:eastAsia="tr-TR"/>
              </w:rPr>
              <w:t>.000</w:t>
            </w:r>
          </w:p>
        </w:tc>
      </w:tr>
      <w:tr w:rsidR="00687531" w:rsidRPr="00687531" w:rsidTr="00C20AF8">
        <w:trPr>
          <w:trHeight w:val="300"/>
        </w:trPr>
        <w:tc>
          <w:tcPr>
            <w:tcW w:w="1887"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ADANA</w:t>
            </w:r>
          </w:p>
        </w:tc>
        <w:tc>
          <w:tcPr>
            <w:tcW w:w="2806" w:type="dxa"/>
            <w:shd w:val="clear" w:color="auto" w:fill="auto"/>
            <w:noWrap/>
            <w:vAlign w:val="bottom"/>
            <w:hideMark/>
          </w:tcPr>
          <w:p w:rsidR="00687531" w:rsidRPr="0082779B" w:rsidRDefault="00687531" w:rsidP="00687531">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144.372</w:t>
            </w:r>
            <w:r w:rsidR="00C20AF8">
              <w:rPr>
                <w:rFonts w:ascii="Calibri" w:eastAsia="Times New Roman" w:hAnsi="Calibri" w:cs="Times New Roman"/>
                <w:color w:val="000000"/>
                <w:sz w:val="24"/>
                <w:szCs w:val="24"/>
                <w:lang w:eastAsia="tr-TR"/>
              </w:rPr>
              <w:t>.000</w:t>
            </w:r>
          </w:p>
        </w:tc>
      </w:tr>
    </w:tbl>
    <w:p w:rsidR="00C20AF8" w:rsidRDefault="00C20AF8" w:rsidP="004900BA">
      <w:pPr>
        <w:rPr>
          <w:b/>
          <w:sz w:val="24"/>
          <w:szCs w:val="24"/>
        </w:rPr>
      </w:pPr>
    </w:p>
    <w:p w:rsidR="00F60EE3" w:rsidRDefault="0082779B" w:rsidP="004900BA">
      <w:pPr>
        <w:rPr>
          <w:sz w:val="24"/>
          <w:szCs w:val="24"/>
        </w:rPr>
      </w:pPr>
      <w:r>
        <w:rPr>
          <w:b/>
          <w:sz w:val="24"/>
          <w:szCs w:val="24"/>
        </w:rPr>
        <w:t xml:space="preserve">TURİZM SEKTÖRÜNDE </w:t>
      </w:r>
      <w:r w:rsidRPr="0082779B">
        <w:rPr>
          <w:b/>
          <w:sz w:val="24"/>
          <w:szCs w:val="24"/>
        </w:rPr>
        <w:t xml:space="preserve">TAKİBE GİREN </w:t>
      </w:r>
      <w:r>
        <w:rPr>
          <w:b/>
          <w:sz w:val="24"/>
          <w:szCs w:val="24"/>
        </w:rPr>
        <w:t xml:space="preserve">KREDİ BORCU </w:t>
      </w:r>
      <w:r w:rsidR="00585661">
        <w:rPr>
          <w:b/>
          <w:sz w:val="24"/>
          <w:szCs w:val="24"/>
        </w:rPr>
        <w:t>638 MİLYON TL</w:t>
      </w:r>
    </w:p>
    <w:p w:rsidR="0082779B" w:rsidRPr="00C20AF8" w:rsidRDefault="0082779B" w:rsidP="0082779B">
      <w:pPr>
        <w:rPr>
          <w:sz w:val="24"/>
          <w:szCs w:val="24"/>
        </w:rPr>
      </w:pPr>
      <w:r w:rsidRPr="00C20AF8">
        <w:rPr>
          <w:sz w:val="24"/>
          <w:szCs w:val="24"/>
        </w:rPr>
        <w:t xml:space="preserve">Bankacılık Düzenleme ve Denetleme Kurumu (BDDK) verilerine göre 2012 yılsonu itibariyle 435 milyon 265 bin TL düzeyinde bulunan turizm sektörünün takibe giren kredi borcu 2013 </w:t>
      </w:r>
      <w:proofErr w:type="spellStart"/>
      <w:r w:rsidRPr="00C20AF8">
        <w:rPr>
          <w:sz w:val="24"/>
          <w:szCs w:val="24"/>
        </w:rPr>
        <w:t>yılnda</w:t>
      </w:r>
      <w:proofErr w:type="spellEnd"/>
      <w:r w:rsidRPr="00C20AF8">
        <w:rPr>
          <w:sz w:val="24"/>
          <w:szCs w:val="24"/>
        </w:rPr>
        <w:t xml:space="preserve"> yüzde 46,64 oranında artarak 638 milyon 300 bin TL seviyesine yükseldi.</w:t>
      </w:r>
    </w:p>
    <w:p w:rsidR="0082779B" w:rsidRDefault="00C20AF8" w:rsidP="0082779B">
      <w:r>
        <w:rPr>
          <w:noProof/>
          <w:lang w:eastAsia="tr-TR"/>
        </w:rPr>
        <w:drawing>
          <wp:inline distT="0" distB="0" distL="0" distR="0">
            <wp:extent cx="5486400" cy="3200400"/>
            <wp:effectExtent l="38100" t="95250" r="95250" b="381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20AF8" w:rsidRPr="004D223C" w:rsidRDefault="004D223C" w:rsidP="0082779B">
      <w:pPr>
        <w:rPr>
          <w:sz w:val="24"/>
          <w:szCs w:val="24"/>
        </w:rPr>
      </w:pPr>
      <w:r w:rsidRPr="004D223C">
        <w:rPr>
          <w:sz w:val="24"/>
          <w:szCs w:val="24"/>
        </w:rPr>
        <w:t>Takibe giren turizm borcunda</w:t>
      </w:r>
      <w:r>
        <w:rPr>
          <w:sz w:val="24"/>
          <w:szCs w:val="24"/>
        </w:rPr>
        <w:t xml:space="preserve"> ilk 10 şe</w:t>
      </w:r>
      <w:r w:rsidR="00381F91">
        <w:rPr>
          <w:sz w:val="24"/>
          <w:szCs w:val="24"/>
        </w:rPr>
        <w:t>hir aşağıdaki şekilde sıralandı:</w:t>
      </w:r>
    </w:p>
    <w:tbl>
      <w:tblPr>
        <w:tblW w:w="54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3515"/>
      </w:tblGrid>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b/>
                <w:color w:val="000000"/>
                <w:sz w:val="24"/>
                <w:szCs w:val="24"/>
                <w:lang w:eastAsia="tr-TR"/>
              </w:rPr>
            </w:pPr>
            <w:r w:rsidRPr="0082779B">
              <w:rPr>
                <w:rFonts w:ascii="Calibri" w:eastAsia="Times New Roman" w:hAnsi="Calibri" w:cs="Times New Roman"/>
                <w:b/>
                <w:color w:val="000000"/>
                <w:sz w:val="24"/>
                <w:szCs w:val="24"/>
                <w:lang w:eastAsia="tr-TR"/>
              </w:rPr>
              <w:t>ŞEHİR</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b/>
                <w:color w:val="000000"/>
                <w:sz w:val="24"/>
                <w:szCs w:val="24"/>
                <w:lang w:eastAsia="tr-TR"/>
              </w:rPr>
            </w:pPr>
            <w:r>
              <w:rPr>
                <w:rFonts w:ascii="Calibri" w:eastAsia="Times New Roman" w:hAnsi="Calibri" w:cs="Times New Roman"/>
                <w:b/>
                <w:color w:val="000000"/>
                <w:sz w:val="24"/>
                <w:szCs w:val="24"/>
                <w:lang w:eastAsia="tr-TR"/>
              </w:rPr>
              <w:t xml:space="preserve">TAKİBE GİREN </w:t>
            </w:r>
            <w:r w:rsidRPr="0082779B">
              <w:rPr>
                <w:rFonts w:ascii="Calibri" w:eastAsia="Times New Roman" w:hAnsi="Calibri" w:cs="Times New Roman"/>
                <w:b/>
                <w:color w:val="000000"/>
                <w:sz w:val="24"/>
                <w:szCs w:val="24"/>
                <w:lang w:eastAsia="tr-TR"/>
              </w:rPr>
              <w:t>KREDİ BORCU</w:t>
            </w:r>
            <w:r>
              <w:rPr>
                <w:rFonts w:ascii="Calibri" w:eastAsia="Times New Roman" w:hAnsi="Calibri" w:cs="Times New Roman"/>
                <w:b/>
                <w:color w:val="000000"/>
                <w:sz w:val="24"/>
                <w:szCs w:val="24"/>
                <w:lang w:eastAsia="tr-TR"/>
              </w:rPr>
              <w:t xml:space="preserve"> (TL)</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ANTALYA</w:t>
            </w:r>
          </w:p>
        </w:tc>
        <w:tc>
          <w:tcPr>
            <w:tcW w:w="3515"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246.262.000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İSTANBUL</w:t>
            </w:r>
          </w:p>
        </w:tc>
        <w:tc>
          <w:tcPr>
            <w:tcW w:w="3515"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143.544.000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ANKARA</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71</w:t>
            </w:r>
            <w:r w:rsidRPr="0082779B">
              <w:rPr>
                <w:rFonts w:ascii="Calibri" w:eastAsia="Times New Roman" w:hAnsi="Calibri" w:cs="Times New Roman"/>
                <w:color w:val="000000"/>
                <w:sz w:val="24"/>
                <w:szCs w:val="24"/>
                <w:lang w:eastAsia="tr-TR"/>
              </w:rPr>
              <w:t>.</w:t>
            </w:r>
            <w:r>
              <w:rPr>
                <w:rFonts w:ascii="Calibri" w:eastAsia="Times New Roman" w:hAnsi="Calibri" w:cs="Times New Roman"/>
                <w:color w:val="000000"/>
                <w:sz w:val="24"/>
                <w:szCs w:val="24"/>
                <w:lang w:eastAsia="tr-TR"/>
              </w:rPr>
              <w:t>018.000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MUĞLA</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49</w:t>
            </w:r>
            <w:r w:rsidRPr="0082779B">
              <w:rPr>
                <w:rFonts w:ascii="Calibri" w:eastAsia="Times New Roman" w:hAnsi="Calibri" w:cs="Times New Roman"/>
                <w:color w:val="000000"/>
                <w:sz w:val="24"/>
                <w:szCs w:val="24"/>
                <w:lang w:eastAsia="tr-TR"/>
              </w:rPr>
              <w:t>.</w:t>
            </w:r>
            <w:r>
              <w:rPr>
                <w:rFonts w:ascii="Calibri" w:eastAsia="Times New Roman" w:hAnsi="Calibri" w:cs="Times New Roman"/>
                <w:color w:val="000000"/>
                <w:sz w:val="24"/>
                <w:szCs w:val="24"/>
                <w:lang w:eastAsia="tr-TR"/>
              </w:rPr>
              <w:t>254.000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GAZİANTEP</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18.494.000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TEKİRDAĞ</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16.644.000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AYDIN</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16.150.000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ŞANLIURFA</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10.327.000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İZMİR</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5.528.000</w:t>
            </w:r>
          </w:p>
        </w:tc>
      </w:tr>
      <w:tr w:rsidR="004D223C" w:rsidRPr="00687531" w:rsidTr="004D223C">
        <w:trPr>
          <w:trHeight w:val="300"/>
        </w:trPr>
        <w:tc>
          <w:tcPr>
            <w:tcW w:w="1887" w:type="dxa"/>
            <w:shd w:val="clear" w:color="auto" w:fill="auto"/>
            <w:noWrap/>
            <w:vAlign w:val="bottom"/>
            <w:hideMark/>
          </w:tcPr>
          <w:p w:rsidR="004D223C" w:rsidRPr="0082779B" w:rsidRDefault="004D223C" w:rsidP="000802FF">
            <w:pPr>
              <w:spacing w:after="0" w:line="240" w:lineRule="auto"/>
              <w:rPr>
                <w:rFonts w:ascii="Calibri" w:eastAsia="Times New Roman" w:hAnsi="Calibri" w:cs="Times New Roman"/>
                <w:color w:val="000000"/>
                <w:sz w:val="24"/>
                <w:szCs w:val="24"/>
                <w:lang w:eastAsia="tr-TR"/>
              </w:rPr>
            </w:pPr>
            <w:r w:rsidRPr="0082779B">
              <w:rPr>
                <w:rFonts w:ascii="Calibri" w:eastAsia="Times New Roman" w:hAnsi="Calibri" w:cs="Times New Roman"/>
                <w:color w:val="000000"/>
                <w:sz w:val="24"/>
                <w:szCs w:val="24"/>
                <w:lang w:eastAsia="tr-TR"/>
              </w:rPr>
              <w:t>ADANA</w:t>
            </w:r>
          </w:p>
        </w:tc>
        <w:tc>
          <w:tcPr>
            <w:tcW w:w="3515" w:type="dxa"/>
            <w:shd w:val="clear" w:color="auto" w:fill="auto"/>
            <w:noWrap/>
            <w:vAlign w:val="bottom"/>
            <w:hideMark/>
          </w:tcPr>
          <w:p w:rsidR="004D223C" w:rsidRPr="0082779B" w:rsidRDefault="004D223C" w:rsidP="004D223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5.099.000</w:t>
            </w:r>
          </w:p>
        </w:tc>
      </w:tr>
    </w:tbl>
    <w:p w:rsidR="00C20AF8" w:rsidRDefault="00C20AF8" w:rsidP="0082779B"/>
    <w:p w:rsidR="00C20AF8" w:rsidRPr="0082779B" w:rsidRDefault="00C20AF8" w:rsidP="00C20AF8">
      <w:pPr>
        <w:rPr>
          <w:sz w:val="24"/>
          <w:szCs w:val="24"/>
        </w:rPr>
      </w:pPr>
      <w:r>
        <w:rPr>
          <w:b/>
          <w:sz w:val="24"/>
          <w:szCs w:val="24"/>
        </w:rPr>
        <w:t>TURİZM SEKTÖRÜNÜN KREDİ BORCU</w:t>
      </w:r>
      <w:r w:rsidR="00381F91">
        <w:rPr>
          <w:b/>
          <w:sz w:val="24"/>
          <w:szCs w:val="24"/>
        </w:rPr>
        <w:t>NA SADAKATİ ARTIYOR</w:t>
      </w:r>
    </w:p>
    <w:p w:rsidR="0082779B" w:rsidRDefault="0005285F" w:rsidP="0082779B">
      <w:pPr>
        <w:rPr>
          <w:sz w:val="24"/>
          <w:szCs w:val="24"/>
        </w:rPr>
      </w:pPr>
      <w:r>
        <w:rPr>
          <w:sz w:val="24"/>
          <w:szCs w:val="24"/>
        </w:rPr>
        <w:t>Turizm sektörünün kredi borcu</w:t>
      </w:r>
      <w:r w:rsidR="009D7F2A">
        <w:rPr>
          <w:sz w:val="24"/>
          <w:szCs w:val="24"/>
        </w:rPr>
        <w:t>,</w:t>
      </w:r>
      <w:r>
        <w:rPr>
          <w:sz w:val="24"/>
          <w:szCs w:val="24"/>
        </w:rPr>
        <w:t xml:space="preserve"> geçtiğimiz beş yıllık </w:t>
      </w:r>
      <w:r w:rsidR="009D7F2A">
        <w:rPr>
          <w:sz w:val="24"/>
          <w:szCs w:val="24"/>
        </w:rPr>
        <w:t xml:space="preserve">dönemde </w:t>
      </w:r>
      <w:r>
        <w:rPr>
          <w:sz w:val="24"/>
          <w:szCs w:val="24"/>
        </w:rPr>
        <w:t>5 katına yakın arttı. 2009 yılında 5 milyar 213 milyon TL düzeyinde bulunan turizm sektörü nakdi kredi borcu miktarı 2013 yılı sonunda 25 milyar 256 milyon TL düzeyine çıktı. Aynı dönemde turizm sektörünce kullanılan kredilerin takibe girme oranı</w:t>
      </w:r>
      <w:r w:rsidR="009D7F2A">
        <w:rPr>
          <w:sz w:val="24"/>
          <w:szCs w:val="24"/>
        </w:rPr>
        <w:t xml:space="preserve">nda ise çok daha düşük bir artış meydana geldi. </w:t>
      </w:r>
      <w:r>
        <w:rPr>
          <w:sz w:val="24"/>
          <w:szCs w:val="24"/>
        </w:rPr>
        <w:t>2009 yılında takibe giren turizm kredisi alacağı 276 milyon 16 bin TL düzeyinde iken 2013 yılında 638 milyon 300 bin TL seviyesine yükseldi.</w:t>
      </w:r>
    </w:p>
    <w:p w:rsidR="007367E5" w:rsidRDefault="007367E5" w:rsidP="0082779B">
      <w:pPr>
        <w:rPr>
          <w:sz w:val="24"/>
          <w:szCs w:val="24"/>
        </w:rPr>
      </w:pPr>
      <w:r>
        <w:rPr>
          <w:noProof/>
          <w:sz w:val="24"/>
          <w:szCs w:val="24"/>
          <w:lang w:eastAsia="tr-TR"/>
        </w:rPr>
        <w:drawing>
          <wp:inline distT="0" distB="0" distL="0" distR="0">
            <wp:extent cx="5486400" cy="3200400"/>
            <wp:effectExtent l="38100" t="95250" r="95250" b="381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67E5" w:rsidRDefault="007367E5" w:rsidP="0082779B">
      <w:pPr>
        <w:rPr>
          <w:sz w:val="24"/>
          <w:szCs w:val="24"/>
        </w:rPr>
      </w:pPr>
    </w:p>
    <w:p w:rsidR="007367E5" w:rsidRDefault="009D7F2A" w:rsidP="0082779B">
      <w:pPr>
        <w:rPr>
          <w:sz w:val="24"/>
          <w:szCs w:val="24"/>
        </w:rPr>
      </w:pPr>
      <w:r>
        <w:rPr>
          <w:noProof/>
          <w:sz w:val="24"/>
          <w:szCs w:val="24"/>
          <w:lang w:eastAsia="tr-TR"/>
        </w:rPr>
        <w:drawing>
          <wp:inline distT="0" distB="0" distL="0" distR="0">
            <wp:extent cx="5486400" cy="3200400"/>
            <wp:effectExtent l="38100" t="95250" r="95250" b="3810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7F2A" w:rsidRDefault="009D7F2A" w:rsidP="0082779B">
      <w:pPr>
        <w:rPr>
          <w:sz w:val="24"/>
          <w:szCs w:val="24"/>
        </w:rPr>
      </w:pPr>
    </w:p>
    <w:p w:rsidR="009D7F2A" w:rsidRPr="0082779B" w:rsidRDefault="009D7F2A" w:rsidP="0082779B">
      <w:pPr>
        <w:rPr>
          <w:sz w:val="24"/>
          <w:szCs w:val="24"/>
        </w:rPr>
      </w:pPr>
    </w:p>
    <w:sectPr w:rsidR="009D7F2A" w:rsidRPr="0082779B" w:rsidSect="00381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A"/>
    <w:rsid w:val="0005285F"/>
    <w:rsid w:val="001A27E7"/>
    <w:rsid w:val="001C4354"/>
    <w:rsid w:val="00381F91"/>
    <w:rsid w:val="003D3277"/>
    <w:rsid w:val="003E0F60"/>
    <w:rsid w:val="004900BA"/>
    <w:rsid w:val="004C5364"/>
    <w:rsid w:val="004D223C"/>
    <w:rsid w:val="00585661"/>
    <w:rsid w:val="005E72BD"/>
    <w:rsid w:val="00687531"/>
    <w:rsid w:val="006E25AF"/>
    <w:rsid w:val="007367E5"/>
    <w:rsid w:val="0082779B"/>
    <w:rsid w:val="009D7F2A"/>
    <w:rsid w:val="00A675DE"/>
    <w:rsid w:val="00B368C6"/>
    <w:rsid w:val="00C20AF8"/>
    <w:rsid w:val="00C43237"/>
    <w:rsid w:val="00C80425"/>
    <w:rsid w:val="00D94AB7"/>
    <w:rsid w:val="00DB545A"/>
    <w:rsid w:val="00DF0DBC"/>
    <w:rsid w:val="00E5545E"/>
    <w:rsid w:val="00E66FFD"/>
    <w:rsid w:val="00F60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0E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0E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9195">
      <w:bodyDiv w:val="1"/>
      <w:marLeft w:val="0"/>
      <w:marRight w:val="0"/>
      <w:marTop w:val="0"/>
      <w:marBottom w:val="0"/>
      <w:divBdr>
        <w:top w:val="none" w:sz="0" w:space="0" w:color="auto"/>
        <w:left w:val="none" w:sz="0" w:space="0" w:color="auto"/>
        <w:bottom w:val="none" w:sz="0" w:space="0" w:color="auto"/>
        <w:right w:val="none" w:sz="0" w:space="0" w:color="auto"/>
      </w:divBdr>
      <w:divsChild>
        <w:div w:id="406733426">
          <w:marLeft w:val="0"/>
          <w:marRight w:val="0"/>
          <w:marTop w:val="0"/>
          <w:marBottom w:val="0"/>
          <w:divBdr>
            <w:top w:val="none" w:sz="0" w:space="0" w:color="auto"/>
            <w:left w:val="none" w:sz="0" w:space="0" w:color="auto"/>
            <w:bottom w:val="none" w:sz="0" w:space="0" w:color="auto"/>
            <w:right w:val="none" w:sz="0" w:space="0" w:color="auto"/>
          </w:divBdr>
          <w:divsChild>
            <w:div w:id="620041571">
              <w:marLeft w:val="0"/>
              <w:marRight w:val="0"/>
              <w:marTop w:val="0"/>
              <w:marBottom w:val="0"/>
              <w:divBdr>
                <w:top w:val="none" w:sz="0" w:space="0" w:color="auto"/>
                <w:left w:val="none" w:sz="0" w:space="0" w:color="auto"/>
                <w:bottom w:val="none" w:sz="0" w:space="0" w:color="auto"/>
                <w:right w:val="none" w:sz="0" w:space="0" w:color="auto"/>
              </w:divBdr>
              <w:divsChild>
                <w:div w:id="1733499392">
                  <w:marLeft w:val="0"/>
                  <w:marRight w:val="0"/>
                  <w:marTop w:val="0"/>
                  <w:marBottom w:val="0"/>
                  <w:divBdr>
                    <w:top w:val="none" w:sz="0" w:space="0" w:color="auto"/>
                    <w:left w:val="none" w:sz="0" w:space="0" w:color="auto"/>
                    <w:bottom w:val="none" w:sz="0" w:space="0" w:color="auto"/>
                    <w:right w:val="none" w:sz="0" w:space="0" w:color="auto"/>
                  </w:divBdr>
                  <w:divsChild>
                    <w:div w:id="77991966">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4216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767969">
      <w:bodyDiv w:val="1"/>
      <w:marLeft w:val="0"/>
      <w:marRight w:val="0"/>
      <w:marTop w:val="0"/>
      <w:marBottom w:val="0"/>
      <w:divBdr>
        <w:top w:val="none" w:sz="0" w:space="0" w:color="auto"/>
        <w:left w:val="none" w:sz="0" w:space="0" w:color="auto"/>
        <w:bottom w:val="none" w:sz="0" w:space="0" w:color="auto"/>
        <w:right w:val="none" w:sz="0" w:space="0" w:color="auto"/>
      </w:divBdr>
      <w:divsChild>
        <w:div w:id="1389189147">
          <w:marLeft w:val="0"/>
          <w:marRight w:val="0"/>
          <w:marTop w:val="0"/>
          <w:marBottom w:val="0"/>
          <w:divBdr>
            <w:top w:val="none" w:sz="0" w:space="0" w:color="auto"/>
            <w:left w:val="none" w:sz="0" w:space="0" w:color="auto"/>
            <w:bottom w:val="none" w:sz="0" w:space="0" w:color="auto"/>
            <w:right w:val="none" w:sz="0" w:space="0" w:color="auto"/>
          </w:divBdr>
          <w:divsChild>
            <w:div w:id="863636450">
              <w:marLeft w:val="0"/>
              <w:marRight w:val="0"/>
              <w:marTop w:val="0"/>
              <w:marBottom w:val="0"/>
              <w:divBdr>
                <w:top w:val="none" w:sz="0" w:space="0" w:color="auto"/>
                <w:left w:val="none" w:sz="0" w:space="0" w:color="auto"/>
                <w:bottom w:val="none" w:sz="0" w:space="0" w:color="auto"/>
                <w:right w:val="none" w:sz="0" w:space="0" w:color="auto"/>
              </w:divBdr>
              <w:divsChild>
                <w:div w:id="671951234">
                  <w:marLeft w:val="0"/>
                  <w:marRight w:val="0"/>
                  <w:marTop w:val="0"/>
                  <w:marBottom w:val="0"/>
                  <w:divBdr>
                    <w:top w:val="none" w:sz="0" w:space="0" w:color="auto"/>
                    <w:left w:val="none" w:sz="0" w:space="0" w:color="auto"/>
                    <w:bottom w:val="none" w:sz="0" w:space="0" w:color="auto"/>
                    <w:right w:val="none" w:sz="0" w:space="0" w:color="auto"/>
                  </w:divBdr>
                  <w:divsChild>
                    <w:div w:id="394742450">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17573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742887">
          <w:marLeft w:val="0"/>
          <w:marRight w:val="0"/>
          <w:marTop w:val="0"/>
          <w:marBottom w:val="0"/>
          <w:divBdr>
            <w:top w:val="none" w:sz="0" w:space="0" w:color="auto"/>
            <w:left w:val="none" w:sz="0" w:space="0" w:color="auto"/>
            <w:bottom w:val="none" w:sz="0" w:space="0" w:color="auto"/>
            <w:right w:val="none" w:sz="0" w:space="0" w:color="auto"/>
          </w:divBdr>
          <w:divsChild>
            <w:div w:id="972440028">
              <w:marLeft w:val="0"/>
              <w:marRight w:val="0"/>
              <w:marTop w:val="0"/>
              <w:marBottom w:val="0"/>
              <w:divBdr>
                <w:top w:val="none" w:sz="0" w:space="0" w:color="auto"/>
                <w:left w:val="none" w:sz="0" w:space="0" w:color="auto"/>
                <w:bottom w:val="none" w:sz="0" w:space="0" w:color="auto"/>
                <w:right w:val="none" w:sz="0" w:space="0" w:color="auto"/>
              </w:divBdr>
              <w:divsChild>
                <w:div w:id="749621906">
                  <w:marLeft w:val="0"/>
                  <w:marRight w:val="0"/>
                  <w:marTop w:val="0"/>
                  <w:marBottom w:val="0"/>
                  <w:divBdr>
                    <w:top w:val="none" w:sz="0" w:space="0" w:color="auto"/>
                    <w:left w:val="none" w:sz="0" w:space="0" w:color="auto"/>
                    <w:bottom w:val="none" w:sz="0" w:space="0" w:color="auto"/>
                    <w:right w:val="none" w:sz="0" w:space="0" w:color="auto"/>
                  </w:divBdr>
                  <w:divsChild>
                    <w:div w:id="883253973">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1798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69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 NAKDİ KREDİ </a:t>
            </a:r>
            <a:r>
              <a:rPr lang="en-US"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BOR</a:t>
            </a:r>
            <a:r>
              <a:rPr lang="tr-TR"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CUNDA İLK 5 ŞEHİR</a:t>
            </a:r>
            <a:endParaRPr lang="en-US" sz="14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BORÇ</c:v>
                </c:pt>
              </c:strCache>
            </c:strRef>
          </c:tx>
          <c:invertIfNegative val="0"/>
          <c:dLbls>
            <c:dLbl>
              <c:idx val="2"/>
              <c:layout>
                <c:manualLayout>
                  <c:x val="0"/>
                  <c:y val="-3.174603174603189E-2"/>
                </c:manualLayout>
              </c:layout>
              <c:showLegendKey val="0"/>
              <c:showVal val="1"/>
              <c:showCatName val="0"/>
              <c:showSerName val="0"/>
              <c:showPercent val="0"/>
              <c:showBubbleSize val="0"/>
            </c:dLbl>
            <c:txPr>
              <a:bodyPr/>
              <a:lstStyle/>
              <a:p>
                <a:pPr>
                  <a:defRPr b="1">
                    <a:ln>
                      <a:solidFill>
                        <a:schemeClr val="tx1"/>
                      </a:solidFill>
                    </a:ln>
                  </a:defRPr>
                </a:pPr>
                <a:endParaRPr lang="tr-TR"/>
              </a:p>
            </c:txPr>
            <c:showLegendKey val="0"/>
            <c:showVal val="1"/>
            <c:showCatName val="0"/>
            <c:showSerName val="0"/>
            <c:showPercent val="0"/>
            <c:showBubbleSize val="0"/>
            <c:showLeaderLines val="0"/>
          </c:dLbls>
          <c:cat>
            <c:strRef>
              <c:f>Sayfa1!$A$2:$A$6</c:f>
              <c:strCache>
                <c:ptCount val="5"/>
                <c:pt idx="0">
                  <c:v>İSTANBUL</c:v>
                </c:pt>
                <c:pt idx="1">
                  <c:v>ANTALYA</c:v>
                </c:pt>
                <c:pt idx="2">
                  <c:v>ANKARA</c:v>
                </c:pt>
                <c:pt idx="3">
                  <c:v>MUĞLA</c:v>
                </c:pt>
                <c:pt idx="4">
                  <c:v>İZMİR</c:v>
                </c:pt>
              </c:strCache>
            </c:strRef>
          </c:cat>
          <c:val>
            <c:numRef>
              <c:f>Sayfa1!$B$2:$B$6</c:f>
              <c:numCache>
                <c:formatCode>#,##0</c:formatCode>
                <c:ptCount val="5"/>
                <c:pt idx="0">
                  <c:v>9491328</c:v>
                </c:pt>
                <c:pt idx="1">
                  <c:v>8342054</c:v>
                </c:pt>
                <c:pt idx="2">
                  <c:v>2091552</c:v>
                </c:pt>
                <c:pt idx="3">
                  <c:v>1539910</c:v>
                </c:pt>
                <c:pt idx="4">
                  <c:v>529939</c:v>
                </c:pt>
              </c:numCache>
            </c:numRef>
          </c:val>
        </c:ser>
        <c:dLbls>
          <c:showLegendKey val="0"/>
          <c:showVal val="0"/>
          <c:showCatName val="0"/>
          <c:showSerName val="0"/>
          <c:showPercent val="0"/>
          <c:showBubbleSize val="0"/>
        </c:dLbls>
        <c:gapWidth val="150"/>
        <c:shape val="box"/>
        <c:axId val="99753984"/>
        <c:axId val="75002944"/>
        <c:axId val="0"/>
      </c:bar3DChart>
      <c:catAx>
        <c:axId val="99753984"/>
        <c:scaling>
          <c:orientation val="minMax"/>
        </c:scaling>
        <c:delete val="0"/>
        <c:axPos val="b"/>
        <c:majorTickMark val="out"/>
        <c:minorTickMark val="none"/>
        <c:tickLblPos val="nextTo"/>
        <c:crossAx val="75002944"/>
        <c:crosses val="autoZero"/>
        <c:auto val="1"/>
        <c:lblAlgn val="ctr"/>
        <c:lblOffset val="100"/>
        <c:noMultiLvlLbl val="0"/>
      </c:catAx>
      <c:valAx>
        <c:axId val="75002944"/>
        <c:scaling>
          <c:orientation val="minMax"/>
        </c:scaling>
        <c:delete val="0"/>
        <c:axPos val="l"/>
        <c:majorGridlines/>
        <c:numFmt formatCode="#,##0" sourceLinked="1"/>
        <c:majorTickMark val="out"/>
        <c:minorTickMark val="none"/>
        <c:tickLblPos val="nextTo"/>
        <c:crossAx val="99753984"/>
        <c:crosses val="autoZero"/>
        <c:crossBetween val="between"/>
      </c:valAx>
    </c:plotArea>
    <c:legend>
      <c:legendPos val="r"/>
      <c:overlay val="0"/>
    </c:legend>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TAKİBE GİREN </a:t>
            </a:r>
            <a:r>
              <a:rPr lang="tr-TR"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 </a:t>
            </a:r>
            <a:r>
              <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BOR</a:t>
            </a:r>
            <a:r>
              <a:rPr lang="tr-TR"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CUNDA İLK 5 ŞEHİR</a:t>
            </a:r>
            <a:endParaRPr lang="en-US" sz="1600"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Sayfa1!$B$1</c:f>
              <c:strCache>
                <c:ptCount val="1"/>
                <c:pt idx="0">
                  <c:v>TURİZM SEKTÖRÜNDE TAKİBE GİREN BORÇ</c:v>
                </c:pt>
              </c:strCache>
            </c:strRef>
          </c:tx>
          <c:invertIfNegative val="0"/>
          <c:dLbls>
            <c:dLbl>
              <c:idx val="0"/>
              <c:layout>
                <c:manualLayout>
                  <c:x val="1.6203703703703703E-2"/>
                  <c:y val="-0.36904793150856141"/>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1"/>
              <c:layout>
                <c:manualLayout>
                  <c:x val="1.6203703703703703E-2"/>
                  <c:y val="-0.2817460317460318"/>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2"/>
              <c:layout>
                <c:manualLayout>
                  <c:x val="1.8518518518518517E-2"/>
                  <c:y val="-0.17857142857142858"/>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3"/>
              <c:layout>
                <c:manualLayout>
                  <c:x val="1.8518518518518517E-2"/>
                  <c:y val="-0.15476190476190477"/>
                </c:manualLayout>
              </c:layout>
              <c:spPr/>
              <c:txPr>
                <a:bodyPr/>
                <a:lstStyle/>
                <a:p>
                  <a:pPr>
                    <a:defRPr b="1">
                      <a:ln>
                        <a:solidFill>
                          <a:schemeClr val="tx1"/>
                        </a:solidFill>
                      </a:ln>
                      <a:effectLst/>
                    </a:defRPr>
                  </a:pPr>
                  <a:endParaRPr lang="tr-TR"/>
                </a:p>
              </c:txPr>
              <c:showLegendKey val="0"/>
              <c:showVal val="1"/>
              <c:showCatName val="0"/>
              <c:showSerName val="0"/>
              <c:showPercent val="0"/>
              <c:showBubbleSize val="0"/>
            </c:dLbl>
            <c:dLbl>
              <c:idx val="4"/>
              <c:layout>
                <c:manualLayout>
                  <c:x val="1.6203703703703703E-2"/>
                  <c:y val="-7.9365079365079222E-2"/>
                </c:manualLayout>
              </c:layout>
              <c:showLegendKey val="0"/>
              <c:showVal val="1"/>
              <c:showCatName val="0"/>
              <c:showSerName val="0"/>
              <c:showPercent val="0"/>
              <c:showBubbleSize val="0"/>
            </c:dLbl>
            <c:txPr>
              <a:bodyPr/>
              <a:lstStyle/>
              <a:p>
                <a:pPr>
                  <a:defRPr>
                    <a:ln>
                      <a:solidFill>
                        <a:schemeClr val="tx1"/>
                      </a:solidFill>
                    </a:ln>
                    <a:effectLst/>
                  </a:defRPr>
                </a:pPr>
                <a:endParaRPr lang="tr-TR"/>
              </a:p>
            </c:txPr>
            <c:showLegendKey val="0"/>
            <c:showVal val="1"/>
            <c:showCatName val="0"/>
            <c:showSerName val="0"/>
            <c:showPercent val="0"/>
            <c:showBubbleSize val="0"/>
            <c:showLeaderLines val="0"/>
          </c:dLbls>
          <c:cat>
            <c:strRef>
              <c:f>Sayfa1!$A$2:$A$6</c:f>
              <c:strCache>
                <c:ptCount val="5"/>
                <c:pt idx="0">
                  <c:v>ANTALYA</c:v>
                </c:pt>
                <c:pt idx="1">
                  <c:v>İSTANBUL</c:v>
                </c:pt>
                <c:pt idx="2">
                  <c:v>ANKARA</c:v>
                </c:pt>
                <c:pt idx="3">
                  <c:v>MUĞLA</c:v>
                </c:pt>
                <c:pt idx="4">
                  <c:v>GAZİANTEP</c:v>
                </c:pt>
              </c:strCache>
            </c:strRef>
          </c:cat>
          <c:val>
            <c:numRef>
              <c:f>Sayfa1!$B$2:$B$6</c:f>
              <c:numCache>
                <c:formatCode>#,##0</c:formatCode>
                <c:ptCount val="5"/>
                <c:pt idx="0">
                  <c:v>246262</c:v>
                </c:pt>
                <c:pt idx="1">
                  <c:v>143544</c:v>
                </c:pt>
                <c:pt idx="2">
                  <c:v>71018</c:v>
                </c:pt>
                <c:pt idx="3">
                  <c:v>49254</c:v>
                </c:pt>
                <c:pt idx="4">
                  <c:v>18494</c:v>
                </c:pt>
              </c:numCache>
            </c:numRef>
          </c:val>
        </c:ser>
        <c:dLbls>
          <c:showLegendKey val="0"/>
          <c:showVal val="0"/>
          <c:showCatName val="0"/>
          <c:showSerName val="0"/>
          <c:showPercent val="0"/>
          <c:showBubbleSize val="0"/>
        </c:dLbls>
        <c:gapWidth val="150"/>
        <c:shape val="box"/>
        <c:axId val="99757568"/>
        <c:axId val="75004672"/>
        <c:axId val="0"/>
      </c:bar3DChart>
      <c:catAx>
        <c:axId val="99757568"/>
        <c:scaling>
          <c:orientation val="minMax"/>
        </c:scaling>
        <c:delete val="0"/>
        <c:axPos val="b"/>
        <c:majorTickMark val="out"/>
        <c:minorTickMark val="none"/>
        <c:tickLblPos val="nextTo"/>
        <c:crossAx val="75004672"/>
        <c:crosses val="autoZero"/>
        <c:auto val="1"/>
        <c:lblAlgn val="ctr"/>
        <c:lblOffset val="100"/>
        <c:noMultiLvlLbl val="0"/>
      </c:catAx>
      <c:valAx>
        <c:axId val="75004672"/>
        <c:scaling>
          <c:orientation val="minMax"/>
        </c:scaling>
        <c:delete val="0"/>
        <c:axPos val="l"/>
        <c:majorGridlines/>
        <c:numFmt formatCode="#,##0" sourceLinked="1"/>
        <c:majorTickMark val="out"/>
        <c:minorTickMark val="none"/>
        <c:tickLblPos val="nextTo"/>
        <c:crossAx val="99757568"/>
        <c:crosses val="autoZero"/>
        <c:crossBetween val="between"/>
      </c:valAx>
    </c:plotArea>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defRPr>
            </a:pPr>
            <a:r>
              <a:rPr lang="en-US"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SEKTÖRÜNÜN YILLARA GÖRE KREDİ BORCU (TL)</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Sayfa1!$B$1</c:f>
              <c:strCache>
                <c:ptCount val="1"/>
                <c:pt idx="0">
                  <c:v>TURİZM SEKTÖRÜNÜN YILLARA GÖRE KREDİ BORCU (TL)</c:v>
                </c:pt>
              </c:strCache>
            </c:strRef>
          </c:tx>
          <c:invertIfNegative val="0"/>
          <c:dLbls>
            <c:dLbl>
              <c:idx val="0"/>
              <c:layout>
                <c:manualLayout>
                  <c:x val="1.6203703703703661E-2"/>
                  <c:y val="-0.13095238095238096"/>
                </c:manualLayout>
              </c:layout>
              <c:showLegendKey val="0"/>
              <c:showVal val="1"/>
              <c:showCatName val="0"/>
              <c:showSerName val="0"/>
              <c:showPercent val="0"/>
              <c:showBubbleSize val="0"/>
            </c:dLbl>
            <c:dLbl>
              <c:idx val="1"/>
              <c:layout>
                <c:manualLayout>
                  <c:x val="9.2592592592592171E-3"/>
                  <c:y val="-0.17460317460317468"/>
                </c:manualLayout>
              </c:layout>
              <c:showLegendKey val="0"/>
              <c:showVal val="1"/>
              <c:showCatName val="0"/>
              <c:showSerName val="0"/>
              <c:showPercent val="0"/>
              <c:showBubbleSize val="0"/>
            </c:dLbl>
            <c:dLbl>
              <c:idx val="2"/>
              <c:layout>
                <c:manualLayout>
                  <c:x val="1.3888888888888888E-2"/>
                  <c:y val="-0.22619047619047619"/>
                </c:manualLayout>
              </c:layout>
              <c:showLegendKey val="0"/>
              <c:showVal val="1"/>
              <c:showCatName val="0"/>
              <c:showSerName val="0"/>
              <c:showPercent val="0"/>
              <c:showBubbleSize val="0"/>
            </c:dLbl>
            <c:dLbl>
              <c:idx val="3"/>
              <c:layout>
                <c:manualLayout>
                  <c:x val="1.620370370370362E-2"/>
                  <c:y val="-0.21825396825396826"/>
                </c:manualLayout>
              </c:layout>
              <c:showLegendKey val="0"/>
              <c:showVal val="1"/>
              <c:showCatName val="0"/>
              <c:showSerName val="0"/>
              <c:showPercent val="0"/>
              <c:showBubbleSize val="0"/>
            </c:dLbl>
            <c:dLbl>
              <c:idx val="4"/>
              <c:layout>
                <c:manualLayout>
                  <c:x val="2.0833333333333332E-2"/>
                  <c:y val="-0.31746031746031744"/>
                </c:manualLayout>
              </c:layout>
              <c:showLegendKey val="0"/>
              <c:showVal val="1"/>
              <c:showCatName val="0"/>
              <c:showSerName val="0"/>
              <c:showPercent val="0"/>
              <c:showBubbleSize val="0"/>
            </c:dLbl>
            <c:txPr>
              <a:bodyPr/>
              <a:lstStyle/>
              <a:p>
                <a:pPr>
                  <a:defRPr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defRPr>
                </a:pPr>
                <a:endParaRPr lang="tr-TR"/>
              </a:p>
            </c:txPr>
            <c:showLegendKey val="0"/>
            <c:showVal val="1"/>
            <c:showCatName val="0"/>
            <c:showSerName val="0"/>
            <c:showPercent val="0"/>
            <c:showBubbleSize val="0"/>
            <c:showLeaderLines val="0"/>
          </c:dLbls>
          <c:cat>
            <c:numRef>
              <c:f>Sayfa1!$A$2:$A$6</c:f>
              <c:numCache>
                <c:formatCode>General</c:formatCode>
                <c:ptCount val="5"/>
                <c:pt idx="0">
                  <c:v>2009</c:v>
                </c:pt>
                <c:pt idx="1">
                  <c:v>2010</c:v>
                </c:pt>
                <c:pt idx="2">
                  <c:v>2011</c:v>
                </c:pt>
                <c:pt idx="3">
                  <c:v>2012</c:v>
                </c:pt>
                <c:pt idx="4">
                  <c:v>2013</c:v>
                </c:pt>
              </c:numCache>
            </c:numRef>
          </c:cat>
          <c:val>
            <c:numRef>
              <c:f>Sayfa1!$B$2:$B$6</c:f>
              <c:numCache>
                <c:formatCode>#,##0</c:formatCode>
                <c:ptCount val="5"/>
                <c:pt idx="0">
                  <c:v>5213369</c:v>
                </c:pt>
                <c:pt idx="1">
                  <c:v>11402825</c:v>
                </c:pt>
                <c:pt idx="2">
                  <c:v>15374126</c:v>
                </c:pt>
                <c:pt idx="3">
                  <c:v>17913575</c:v>
                </c:pt>
                <c:pt idx="4">
                  <c:v>25256923</c:v>
                </c:pt>
              </c:numCache>
            </c:numRef>
          </c:val>
        </c:ser>
        <c:dLbls>
          <c:showLegendKey val="0"/>
          <c:showVal val="0"/>
          <c:showCatName val="0"/>
          <c:showSerName val="0"/>
          <c:showPercent val="0"/>
          <c:showBubbleSize val="0"/>
        </c:dLbls>
        <c:gapWidth val="150"/>
        <c:shape val="box"/>
        <c:axId val="99754496"/>
        <c:axId val="126222912"/>
        <c:axId val="0"/>
      </c:bar3DChart>
      <c:catAx>
        <c:axId val="99754496"/>
        <c:scaling>
          <c:orientation val="minMax"/>
        </c:scaling>
        <c:delete val="0"/>
        <c:axPos val="b"/>
        <c:numFmt formatCode="General" sourceLinked="1"/>
        <c:majorTickMark val="out"/>
        <c:minorTickMark val="none"/>
        <c:tickLblPos val="nextTo"/>
        <c:crossAx val="126222912"/>
        <c:crosses val="autoZero"/>
        <c:auto val="1"/>
        <c:lblAlgn val="ctr"/>
        <c:lblOffset val="100"/>
        <c:noMultiLvlLbl val="0"/>
      </c:catAx>
      <c:valAx>
        <c:axId val="126222912"/>
        <c:scaling>
          <c:orientation val="minMax"/>
        </c:scaling>
        <c:delete val="0"/>
        <c:axPos val="l"/>
        <c:majorGridlines/>
        <c:numFmt formatCode="#,##0" sourceLinked="1"/>
        <c:majorTickMark val="out"/>
        <c:minorTickMark val="none"/>
        <c:tickLblPos val="nextTo"/>
        <c:crossAx val="99754496"/>
        <c:crosses val="autoZero"/>
        <c:crossBetween val="between"/>
      </c:valAx>
    </c:plotArea>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defRPr>
            </a:pPr>
            <a:r>
              <a:rPr lang="en-US"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TURİZM SEKTÖRÜNDE YILLARA GÖRE TAKİBE GİREN KREDİ BORCU (</a:t>
            </a:r>
            <a:r>
              <a:rPr lang="tr-TR"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milyon </a:t>
            </a:r>
            <a:r>
              <a:rPr lang="en-US"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TURİZM SEKTÖRÜNDE YILLARA GÖRE TAKİBE GİREN KREDİ BORCU (TL)</c:v>
                </c:pt>
              </c:strCache>
            </c:strRef>
          </c:tx>
          <c:invertIfNegative val="0"/>
          <c:dLbls>
            <c:dLbl>
              <c:idx val="0"/>
              <c:layout>
                <c:manualLayout>
                  <c:x val="1.8518518518518563E-2"/>
                  <c:y val="-7.9365079365079361E-3"/>
                </c:manualLayout>
              </c:layout>
              <c:showLegendKey val="0"/>
              <c:showVal val="1"/>
              <c:showCatName val="0"/>
              <c:showSerName val="0"/>
              <c:showPercent val="0"/>
              <c:showBubbleSize val="0"/>
            </c:dLbl>
            <c:dLbl>
              <c:idx val="1"/>
              <c:layout>
                <c:manualLayout>
                  <c:x val="3.2407407407407364E-2"/>
                  <c:y val="-2.7777777777777849E-2"/>
                </c:manualLayout>
              </c:layout>
              <c:showLegendKey val="0"/>
              <c:showVal val="1"/>
              <c:showCatName val="0"/>
              <c:showSerName val="0"/>
              <c:showPercent val="0"/>
              <c:showBubbleSize val="0"/>
            </c:dLbl>
            <c:dLbl>
              <c:idx val="2"/>
              <c:layout>
                <c:manualLayout>
                  <c:x val="3.4722222222222224E-2"/>
                  <c:y val="-1.984126984126984E-2"/>
                </c:manualLayout>
              </c:layout>
              <c:showLegendKey val="0"/>
              <c:showVal val="1"/>
              <c:showCatName val="0"/>
              <c:showSerName val="0"/>
              <c:showPercent val="0"/>
              <c:showBubbleSize val="0"/>
            </c:dLbl>
            <c:dLbl>
              <c:idx val="3"/>
              <c:layout>
                <c:manualLayout>
                  <c:x val="3.7037037037036952E-2"/>
                  <c:y val="-1.984126984126984E-2"/>
                </c:manualLayout>
              </c:layout>
              <c:showLegendKey val="0"/>
              <c:showVal val="1"/>
              <c:showCatName val="0"/>
              <c:showSerName val="0"/>
              <c:showPercent val="0"/>
              <c:showBubbleSize val="0"/>
            </c:dLbl>
            <c:dLbl>
              <c:idx val="4"/>
              <c:layout>
                <c:manualLayout>
                  <c:x val="2.0833333333333332E-2"/>
                  <c:y val="-1.1904761904761941E-2"/>
                </c:manualLayout>
              </c:layout>
              <c:showLegendKey val="0"/>
              <c:showVal val="1"/>
              <c:showCatName val="0"/>
              <c:showSerName val="0"/>
              <c:showPercent val="0"/>
              <c:showBubbleSize val="0"/>
            </c:dLbl>
            <c:txPr>
              <a:bodyPr/>
              <a:lstStyle/>
              <a:p>
                <a:pPr>
                  <a:defRPr b="1" cap="none" spc="0">
                    <a:ln w="8890" cmpd="sng">
                      <a:solidFill>
                        <a:schemeClr val="tx1"/>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defRPr>
                </a:pPr>
                <a:endParaRPr lang="tr-TR"/>
              </a:p>
            </c:txPr>
            <c:showLegendKey val="0"/>
            <c:showVal val="1"/>
            <c:showCatName val="0"/>
            <c:showSerName val="0"/>
            <c:showPercent val="0"/>
            <c:showBubbleSize val="0"/>
            <c:showLeaderLines val="0"/>
          </c:dLbls>
          <c:cat>
            <c:numRef>
              <c:f>Sayfa1!$A$2:$A$6</c:f>
              <c:numCache>
                <c:formatCode>General</c:formatCode>
                <c:ptCount val="5"/>
                <c:pt idx="0">
                  <c:v>2009</c:v>
                </c:pt>
                <c:pt idx="1">
                  <c:v>2010</c:v>
                </c:pt>
                <c:pt idx="2">
                  <c:v>2011</c:v>
                </c:pt>
                <c:pt idx="3">
                  <c:v>2012</c:v>
                </c:pt>
                <c:pt idx="4">
                  <c:v>2013</c:v>
                </c:pt>
              </c:numCache>
            </c:numRef>
          </c:cat>
          <c:val>
            <c:numRef>
              <c:f>Sayfa1!$B$2:$B$6</c:f>
              <c:numCache>
                <c:formatCode>#,##0</c:formatCode>
                <c:ptCount val="5"/>
                <c:pt idx="0">
                  <c:v>276016</c:v>
                </c:pt>
                <c:pt idx="1">
                  <c:v>311431</c:v>
                </c:pt>
                <c:pt idx="2">
                  <c:v>417435</c:v>
                </c:pt>
                <c:pt idx="3">
                  <c:v>435265</c:v>
                </c:pt>
                <c:pt idx="4">
                  <c:v>638300</c:v>
                </c:pt>
              </c:numCache>
            </c:numRef>
          </c:val>
        </c:ser>
        <c:dLbls>
          <c:showLegendKey val="0"/>
          <c:showVal val="0"/>
          <c:showCatName val="0"/>
          <c:showSerName val="0"/>
          <c:showPercent val="0"/>
          <c:showBubbleSize val="0"/>
        </c:dLbls>
        <c:gapWidth val="150"/>
        <c:shape val="box"/>
        <c:axId val="99757056"/>
        <c:axId val="126224640"/>
        <c:axId val="0"/>
      </c:bar3DChart>
      <c:catAx>
        <c:axId val="99757056"/>
        <c:scaling>
          <c:orientation val="minMax"/>
        </c:scaling>
        <c:delete val="0"/>
        <c:axPos val="b"/>
        <c:numFmt formatCode="General" sourceLinked="1"/>
        <c:majorTickMark val="out"/>
        <c:minorTickMark val="none"/>
        <c:tickLblPos val="nextTo"/>
        <c:crossAx val="126224640"/>
        <c:crosses val="autoZero"/>
        <c:auto val="1"/>
        <c:lblAlgn val="ctr"/>
        <c:lblOffset val="100"/>
        <c:noMultiLvlLbl val="0"/>
      </c:catAx>
      <c:valAx>
        <c:axId val="126224640"/>
        <c:scaling>
          <c:orientation val="minMax"/>
        </c:scaling>
        <c:delete val="0"/>
        <c:axPos val="l"/>
        <c:majorGridlines/>
        <c:numFmt formatCode="#,##0" sourceLinked="1"/>
        <c:majorTickMark val="out"/>
        <c:minorTickMark val="none"/>
        <c:tickLblPos val="nextTo"/>
        <c:crossAx val="99757056"/>
        <c:crosses val="autoZero"/>
        <c:crossBetween val="between"/>
      </c:valAx>
    </c:plotArea>
    <c:plotVisOnly val="1"/>
    <c:dispBlanksAs val="gap"/>
    <c:showDLblsOverMax val="0"/>
  </c:chart>
  <c:spPr>
    <a:effectLst>
      <a:outerShdw blurRad="50800" dist="38100" dir="18900000" algn="bl" rotWithShape="0">
        <a:prstClr val="black">
          <a:alpha val="40000"/>
        </a:prstClr>
      </a:outerShdw>
    </a:effectLst>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422</Words>
  <Characters>2407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9</cp:revision>
  <dcterms:created xsi:type="dcterms:W3CDTF">2014-02-28T10:04:00Z</dcterms:created>
  <dcterms:modified xsi:type="dcterms:W3CDTF">2014-03-03T07:07:00Z</dcterms:modified>
</cp:coreProperties>
</file>